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hint="eastAsia" w:ascii="FangSong_GB2312" w:hAnsi="宋体" w:eastAsia="FangSong_GB2312"/>
          <w:b/>
          <w:bCs/>
          <w:sz w:val="28"/>
        </w:rPr>
      </w:pPr>
      <w:r>
        <w:rPr>
          <w:rFonts w:hint="eastAsia" w:ascii="FangSong_GB2312" w:hAnsi="宋体" w:eastAsia="FangSong_GB2312"/>
          <w:b/>
          <w:bCs/>
          <w:sz w:val="28"/>
        </w:rPr>
        <w:t>10．教学效果</w:t>
      </w:r>
    </w:p>
    <w:tbl>
      <w:tblPr>
        <w:tblStyle w:val="3"/>
        <w:tblW w:w="8660" w:type="dxa"/>
        <w:tblInd w:w="-1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660" w:type="dxa"/>
            <w:vAlign w:val="top"/>
          </w:tcPr>
          <w:p>
            <w:pPr>
              <w:spacing w:line="340" w:lineRule="exact"/>
              <w:jc w:val="left"/>
              <w:rPr>
                <w:rFonts w:hint="eastAsia"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10-1校外专家、行业企业专家及学生评价</w:t>
            </w:r>
          </w:p>
          <w:p>
            <w:pPr>
              <w:spacing w:line="480" w:lineRule="exact"/>
              <w:ind w:firstLine="422" w:firstLineChars="200"/>
              <w:jc w:val="left"/>
              <w:rPr>
                <w:rFonts w:hint="eastAsia" w:ascii="宋体" w:hAnsi="宋体"/>
                <w:b/>
                <w:bCs w:val="0"/>
                <w:szCs w:val="21"/>
              </w:rPr>
            </w:pPr>
            <w:r>
              <w:rPr>
                <w:rFonts w:hint="eastAsia" w:ascii="宋体" w:hAnsi="宋体"/>
                <w:b/>
                <w:bCs w:val="0"/>
                <w:szCs w:val="21"/>
              </w:rPr>
              <w:t>1、校外专家评价（安徽大学，王</w:t>
            </w:r>
            <w:r>
              <w:rPr>
                <w:rFonts w:hint="eastAsia" w:ascii="宋体" w:hAnsi="宋体"/>
                <w:b/>
                <w:bCs w:val="0"/>
                <w:szCs w:val="21"/>
                <w:lang w:eastAsia="zh-CN"/>
              </w:rPr>
              <w:t>平副</w:t>
            </w:r>
            <w:r>
              <w:rPr>
                <w:rFonts w:hint="eastAsia" w:ascii="宋体" w:hAnsi="宋体"/>
                <w:b/>
                <w:bCs w:val="0"/>
                <w:szCs w:val="21"/>
              </w:rPr>
              <w:t>教授）</w:t>
            </w:r>
          </w:p>
          <w:p>
            <w:pPr>
              <w:spacing w:line="340" w:lineRule="exact"/>
              <w:ind w:firstLine="420" w:firstLineChars="200"/>
              <w:jc w:val="left"/>
              <w:rPr>
                <w:rFonts w:ascii="宋体" w:hAnsi="宋体"/>
                <w:bCs/>
                <w:szCs w:val="21"/>
              </w:rPr>
            </w:pPr>
            <w:r>
              <w:rPr>
                <w:rFonts w:ascii="宋体" w:hAnsi="宋体"/>
                <w:bCs/>
                <w:szCs w:val="21"/>
              </w:rPr>
              <w:t>该课程按照专业培养目标和企业实际工作岗位需要构建内容体系，教学组织按照真实工作</w:t>
            </w:r>
            <w:r>
              <w:rPr>
                <w:rFonts w:hint="eastAsia" w:ascii="宋体" w:hAnsi="宋体"/>
                <w:bCs/>
                <w:szCs w:val="21"/>
                <w:lang w:eastAsia="zh-CN"/>
              </w:rPr>
              <w:t>情境</w:t>
            </w:r>
            <w:r>
              <w:rPr>
                <w:rFonts w:ascii="宋体" w:hAnsi="宋体"/>
                <w:bCs/>
                <w:szCs w:val="21"/>
              </w:rPr>
              <w:t>以项目驱动的方式进行，在老师的指导下，学生边学边练，改变了以课堂为主传授知识的传统模式，较好的发挥了学生的主体作用。教学设计思路符合</w:t>
            </w:r>
            <w:r>
              <w:rPr>
                <w:rFonts w:hint="eastAsia" w:ascii="宋体" w:hAnsi="宋体"/>
                <w:bCs/>
                <w:szCs w:val="21"/>
              </w:rPr>
              <w:t>中</w:t>
            </w:r>
            <w:r>
              <w:rPr>
                <w:rFonts w:ascii="宋体" w:hAnsi="宋体"/>
                <w:bCs/>
                <w:szCs w:val="21"/>
              </w:rPr>
              <w:t>职教育的要求，理念先进，设计方法实用，在职业教育课程改革上迈出了坚实的一步，值得推广。</w:t>
            </w:r>
            <w:r>
              <w:rPr>
                <w:rFonts w:hint="eastAsia" w:ascii="宋体" w:hAnsi="宋体"/>
                <w:bCs/>
                <w:szCs w:val="21"/>
              </w:rPr>
              <w:t>该</w:t>
            </w:r>
            <w:r>
              <w:rPr>
                <w:rFonts w:ascii="宋体" w:hAnsi="宋体"/>
                <w:bCs/>
                <w:szCs w:val="21"/>
              </w:rPr>
              <w:t>课程在课程建设、教材建设与教学改革研究方面已经积累了相当的经验，特别是在教学方法改革方面，有效采用项目导向、任务驱动、案例式教学等教学模式，同时积极采用多媒体辅助教学和网络教学手段，提高了教学与管理的现代化水平。我认为该课程在教学内容、教学方法、教学效果和师资队伍方面已经达到了精品课程的要求。</w:t>
            </w:r>
          </w:p>
          <w:p>
            <w:pPr>
              <w:spacing w:line="340" w:lineRule="exact"/>
              <w:ind w:firstLine="420" w:firstLineChars="200"/>
              <w:jc w:val="left"/>
              <w:rPr>
                <w:rFonts w:ascii="宋体" w:hAnsi="宋体"/>
                <w:bCs/>
                <w:szCs w:val="21"/>
              </w:rPr>
            </w:pPr>
          </w:p>
          <w:p>
            <w:pPr>
              <w:spacing w:line="340" w:lineRule="exact"/>
              <w:ind w:firstLine="420" w:firstLineChars="200"/>
              <w:jc w:val="left"/>
              <w:rPr>
                <w:rFonts w:ascii="宋体" w:hAnsi="宋体"/>
                <w:bCs/>
                <w:szCs w:val="21"/>
              </w:rPr>
            </w:pPr>
          </w:p>
          <w:p>
            <w:pPr>
              <w:spacing w:line="340" w:lineRule="exact"/>
              <w:ind w:firstLine="420" w:firstLineChars="200"/>
              <w:jc w:val="left"/>
              <w:rPr>
                <w:rFonts w:hint="eastAsia" w:ascii="宋体" w:hAnsi="宋体"/>
                <w:bCs/>
                <w:szCs w:val="21"/>
              </w:rPr>
            </w:pPr>
          </w:p>
          <w:p>
            <w:pPr>
              <w:spacing w:line="340" w:lineRule="exact"/>
              <w:ind w:firstLine="420" w:firstLineChars="200"/>
              <w:jc w:val="left"/>
              <w:rPr>
                <w:rFonts w:hint="eastAsia" w:ascii="宋体" w:hAnsi="宋体"/>
                <w:bCs/>
                <w:szCs w:val="21"/>
              </w:rPr>
            </w:pPr>
            <w: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margin">
                    <wp:posOffset>289560</wp:posOffset>
                  </wp:positionH>
                  <wp:positionV relativeFrom="margin">
                    <wp:posOffset>0</wp:posOffset>
                  </wp:positionV>
                  <wp:extent cx="6666230" cy="8321675"/>
                  <wp:effectExtent l="0" t="0" r="8890" b="14605"/>
                  <wp:wrapSquare wrapText="bothSides"/>
                  <wp:docPr id="9" name="图片 2" descr="IMG_20180906_100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 descr="IMG_20180906_10091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6230" cy="832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numPr>
                <w:ilvl w:val="0"/>
                <w:numId w:val="0"/>
              </w:numPr>
              <w:spacing w:line="480" w:lineRule="exact"/>
              <w:ind w:left="105" w:leftChars="0"/>
              <w:jc w:val="left"/>
              <w:rPr>
                <w:rFonts w:hint="eastAsia" w:ascii="宋体" w:hAnsi="宋体"/>
                <w:b/>
                <w:bCs w:val="0"/>
                <w:color w:val="FF0000"/>
                <w:szCs w:val="21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spacing w:line="480" w:lineRule="exact"/>
              <w:ind w:left="422" w:leftChars="0"/>
              <w:jc w:val="left"/>
              <w:rPr>
                <w:rFonts w:hint="eastAsia" w:ascii="宋体" w:hAnsi="宋体"/>
                <w:b/>
                <w:bCs w:val="0"/>
                <w:color w:val="000000"/>
                <w:szCs w:val="21"/>
              </w:rPr>
            </w:pPr>
            <w: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margin">
                    <wp:posOffset>222885</wp:posOffset>
                  </wp:positionH>
                  <wp:positionV relativeFrom="margin">
                    <wp:posOffset>541020</wp:posOffset>
                  </wp:positionV>
                  <wp:extent cx="5601335" cy="8054975"/>
                  <wp:effectExtent l="0" t="0" r="6985" b="6985"/>
                  <wp:wrapSquare wrapText="bothSides"/>
                  <wp:docPr id="8" name="图片 3" descr="1536200225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 descr="15362002252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335" cy="805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  <w:lang w:val="en-US" w:eastAsia="zh-CN"/>
              </w:rPr>
              <w:t>2、</w:t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</w:rPr>
              <w:t>行业专家评价（</w:t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  <w:lang w:eastAsia="zh-CN"/>
              </w:rPr>
              <w:t>安徽博伦特智能科技有限公司</w:t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</w:rPr>
              <w:t>，</w:t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  <w:lang w:eastAsia="zh-CN"/>
              </w:rPr>
              <w:t>丁中建</w:t>
            </w:r>
            <w:r>
              <w:rPr>
                <w:rFonts w:hint="eastAsia" w:ascii="宋体" w:hAnsi="宋体"/>
                <w:b/>
                <w:bCs w:val="0"/>
                <w:color w:val="000000"/>
                <w:szCs w:val="21"/>
              </w:rPr>
              <w:t>总经理）</w:t>
            </w:r>
          </w:p>
          <w:tbl>
            <w:tblPr>
              <w:tblStyle w:val="3"/>
              <w:tblW w:w="9280" w:type="dxa"/>
              <w:tblInd w:w="-181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564"/>
              <w:gridCol w:w="8716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Layout w:type="fixed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Before w:val="1"/>
                <w:wBefore w:w="564" w:type="dxa"/>
                <w:trHeight w:val="4539" w:hRule="atLeast"/>
              </w:trPr>
              <w:tc>
                <w:tcPr>
                  <w:tcW w:w="8716" w:type="dxa"/>
                  <w:vAlign w:val="top"/>
                </w:tcPr>
                <w:p>
                  <w:pPr>
                    <w:spacing w:line="480" w:lineRule="exact"/>
                    <w:jc w:val="left"/>
                    <w:rPr>
                      <w:rFonts w:hint="eastAsia" w:ascii="宋体" w:hAnsi="宋体"/>
                      <w:b/>
                      <w:bCs w:val="0"/>
                      <w:color w:val="000000"/>
                      <w:szCs w:val="21"/>
                    </w:rPr>
                  </w:pPr>
                  <w:r>
                    <w:rPr>
                      <w:rFonts w:hint="eastAsia" w:ascii="宋体" w:hAnsi="宋体"/>
                      <w:b/>
                      <w:bCs w:val="0"/>
                      <w:color w:val="000000"/>
                      <w:szCs w:val="21"/>
                      <w:lang w:val="en-US" w:eastAsia="zh-CN"/>
                    </w:rPr>
                    <w:t>3</w:t>
                  </w:r>
                  <w:r>
                    <w:rPr>
                      <w:rFonts w:hint="eastAsia" w:ascii="宋体" w:hAnsi="宋体"/>
                      <w:b/>
                      <w:bCs w:val="0"/>
                      <w:color w:val="000000"/>
                      <w:szCs w:val="21"/>
                    </w:rPr>
                    <w:t>、</w:t>
                  </w:r>
                  <w:r>
                    <w:rPr>
                      <w:rFonts w:hint="eastAsia" w:ascii="宋体" w:hAnsi="宋体"/>
                      <w:b/>
                      <w:bCs w:val="0"/>
                      <w:color w:val="000000"/>
                      <w:szCs w:val="21"/>
                      <w:lang w:eastAsia="zh-CN"/>
                    </w:rPr>
                    <w:t>学校教务处</w:t>
                  </w:r>
                  <w:r>
                    <w:rPr>
                      <w:rFonts w:ascii="宋体" w:hAnsi="宋体"/>
                      <w:b/>
                      <w:bCs w:val="0"/>
                      <w:color w:val="000000"/>
                      <w:szCs w:val="21"/>
                    </w:rPr>
                    <w:t>评价</w:t>
                  </w: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b/>
                      <w:kern w:val="0"/>
                      <w:szCs w:val="21"/>
                      <w:lang w:val="zh-CN"/>
                    </w:rPr>
                  </w:pPr>
                  <w:r>
                    <w:drawing>
                      <wp:anchor distT="0" distB="0" distL="114300" distR="114300" simplePos="0" relativeHeight="251744256" behindDoc="0" locked="0" layoutInCell="1" allowOverlap="1">
                        <wp:simplePos x="0" y="0"/>
                        <wp:positionH relativeFrom="margin">
                          <wp:posOffset>111125</wp:posOffset>
                        </wp:positionH>
                        <wp:positionV relativeFrom="margin">
                          <wp:posOffset>510540</wp:posOffset>
                        </wp:positionV>
                        <wp:extent cx="4917440" cy="5928995"/>
                        <wp:effectExtent l="0" t="0" r="5080" b="14605"/>
                        <wp:wrapSquare wrapText="bothSides"/>
                        <wp:docPr id="5" name="图片 4" descr="15362002551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图片 4" descr="15362002551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17440" cy="59289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ascii="宋体" w:hAnsi="宋体" w:cs="宋体"/>
                      <w:kern w:val="0"/>
                      <w:szCs w:val="21"/>
                      <w:lang w:val="zh-CN"/>
                    </w:rPr>
                  </w:pPr>
                </w:p>
                <w:p>
                  <w:pPr>
                    <w:spacing w:line="480" w:lineRule="exact"/>
                    <w:ind w:right="519" w:rightChars="247"/>
                    <w:jc w:val="left"/>
                    <w:rPr>
                      <w:rFonts w:hint="eastAsia" w:ascii="宋体" w:hAnsi="宋体" w:cs="宋体"/>
                      <w:b/>
                      <w:bCs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b/>
                      <w:bCs/>
                      <w:kern w:val="0"/>
                      <w:szCs w:val="21"/>
                      <w:lang w:val="zh-CN"/>
                    </w:rPr>
                    <w:t>4、用人单位评价：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在本区域各大中小企业实习的学生，单位普遍反映，“学生所学专业对口，实际动手能力很强，能较快的适应工作。对专业知识的掌握也很好，综合能力非常的强。”同时学生工作认真，遵守工作纪律，专业素质高，在工作岗位上承担着比较重要的工作任务，起到了生力军的作用。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b/>
                      <w:bCs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b/>
                      <w:bCs/>
                      <w:kern w:val="0"/>
                      <w:szCs w:val="21"/>
                      <w:lang w:val="zh-CN"/>
                    </w:rPr>
                    <w:t>5、学生评价：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</w:rPr>
                    <w:t>12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秋文秘：马菲　本人毕业后一直在皖南电机从事办公室文员工作，先后负责过前台接待和文书管理，尽管工作岗位有过变化，经验也不足，但却从不胆怯，也很少出现差错，这很大程度上得益于我在学校时从师一位教学严谨、工作负责的徐林林老师。在学校学过很多课程，徐老师的印象最深，他身传言教，严格要求学生， 能根据学生的特点因材施教，谆谆善诱，正确引导学生思考，积极动手，真正提高解决问题的教学目的。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1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</w:rPr>
                    <w:t>3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 xml:space="preserve">秋文秘：汪园园　　我现在在职教之春宾馆工作，胡琴老师讲课时很注意结合工作实际，有利于我们理解、掌握，便于我们处理工作中出现的难题。《秘书基础》课程的学习对我现在工作有很大的指导作用，帮助我解决许多工作问题。 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1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</w:rPr>
                    <w:t>4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秋文秘  王雨晗  我现在在贝斯特智能科技有限公司担任总经理办公室秘书，《秘书基础》的任课老师曾老师一贯地认真、负责，兢兢业业，把教学工作放在第一位置，建立起了良好的威信，也使这门课建立起了良好的威信。在她的带动下，我们很快进入角色，在平时实践中更多地进行运用。这也是曾老师对我们的一贯要求“理论结合实际”。当然也与老师在课堂上的教学特点有关，主次分明，举一反三，由浅入深，思路清晰，使我们生产浓厚的兴趣，组织教学上层层深入，新旧衔接，环环相扣，对我们以后从事的工作以及深造是终身受益。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1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</w:rPr>
                    <w:t>5秋文秘</w:t>
                  </w: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：陆洁　同学们对《秘书基础》课程很感兴趣，文老师的教学方法很灵活，注意与学生的互动，尤其是按照项目来实行一体化教学，边学边做，大家觉得学得有意思，学习积极性很高。在刚刚结束的对口升学考试中，我以全省第二名的好成绩顺利地考取了淮南师范学院。</w:t>
                  </w:r>
                </w:p>
                <w:p>
                  <w:pPr>
                    <w:spacing w:line="480" w:lineRule="exact"/>
                    <w:ind w:right="519" w:rightChars="247" w:firstLine="420"/>
                    <w:jc w:val="left"/>
                    <w:rPr>
                      <w:rFonts w:ascii="宋体" w:hAnsi="宋体" w:cs="宋体"/>
                      <w:kern w:val="0"/>
                      <w:szCs w:val="21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</w:rPr>
                    <w:t>16秋文秘：王玥  文秘专业的诸多课程中，我最喜欢的就是《秘书基础》了，吴老师在课堂上不仅给我们讲解理论知识，还结合大量的案例来分析，让我们有更多的机会接触到秘书工作实践，今后我将继续努力，勇攀学习高峰。</w:t>
                  </w: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hint="eastAsia" w:ascii="FangSong_GB2312" w:hAnsi="宋体" w:eastAsia="FangSong_GB2312"/>
                      <w:bCs/>
                      <w:szCs w:val="21"/>
                    </w:rPr>
                  </w:pPr>
                  <w:r>
                    <w:drawing>
                      <wp:anchor distT="0" distB="0" distL="114300" distR="114300" simplePos="0" relativeHeight="251745280" behindDoc="0" locked="0" layoutInCell="1" allowOverlap="1">
                        <wp:simplePos x="0" y="0"/>
                        <wp:positionH relativeFrom="margin">
                          <wp:posOffset>-1005840</wp:posOffset>
                        </wp:positionH>
                        <wp:positionV relativeFrom="margin">
                          <wp:posOffset>-143510</wp:posOffset>
                        </wp:positionV>
                        <wp:extent cx="6750050" cy="8999855"/>
                        <wp:effectExtent l="0" t="0" r="1270" b="6985"/>
                        <wp:wrapSquare wrapText="bothSides"/>
                        <wp:docPr id="4" name="图片 5" descr="15362002755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图片 5" descr="15362002755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50050" cy="89998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Layout w:type="fixed"/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13401" w:hRule="atLeast"/>
              </w:trPr>
              <w:tc>
                <w:tcPr>
                  <w:tcW w:w="9280" w:type="dxa"/>
                  <w:gridSpan w:val="2"/>
                  <w:vAlign w:val="top"/>
                </w:tcPr>
                <w:p>
                  <w:pPr>
                    <w:spacing w:line="340" w:lineRule="exact"/>
                    <w:jc w:val="left"/>
                    <w:rPr>
                      <w:rFonts w:ascii="宋体" w:hAnsi="宋体"/>
                      <w:szCs w:val="21"/>
                    </w:rPr>
                  </w:pPr>
                  <w:r>
                    <w:drawing>
                      <wp:anchor distT="0" distB="0" distL="114300" distR="114300" simplePos="0" relativeHeight="251746304" behindDoc="0" locked="0" layoutInCell="1" allowOverlap="1">
                        <wp:simplePos x="0" y="0"/>
                        <wp:positionH relativeFrom="margin">
                          <wp:align>left</wp:align>
                        </wp:positionH>
                        <wp:positionV relativeFrom="margin">
                          <wp:align>top</wp:align>
                        </wp:positionV>
                        <wp:extent cx="5425440" cy="7620000"/>
                        <wp:effectExtent l="0" t="0" r="0" b="0"/>
                        <wp:wrapSquare wrapText="bothSides"/>
                        <wp:docPr id="3" name="图片 6" descr="15362002877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图片 6" descr="15362002877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"/>
                                <a:srcRect l="5696" t="6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25440" cy="762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>
                  <w:pPr>
                    <w:spacing w:line="340" w:lineRule="exact"/>
                    <w:jc w:val="left"/>
                    <w:rPr>
                      <w:rFonts w:ascii="宋体" w:hAnsi="宋体"/>
                      <w:szCs w:val="21"/>
                    </w:rPr>
                  </w:pPr>
                </w:p>
                <w:p>
                  <w:pPr>
                    <w:spacing w:line="340" w:lineRule="exact"/>
                    <w:jc w:val="left"/>
                    <w:rPr>
                      <w:rFonts w:ascii="宋体" w:hAnsi="宋体"/>
                      <w:szCs w:val="21"/>
                    </w:rPr>
                  </w:pPr>
                </w:p>
                <w:p>
                  <w:pPr>
                    <w:spacing w:line="340" w:lineRule="exact"/>
                    <w:jc w:val="left"/>
                    <w:rPr>
                      <w:rFonts w:ascii="宋体" w:hAnsi="宋体"/>
                      <w:szCs w:val="21"/>
                    </w:rPr>
                  </w:pPr>
                </w:p>
                <w:p>
                  <w:pPr>
                    <w:spacing w:line="340" w:lineRule="exact"/>
                    <w:jc w:val="left"/>
                    <w:rPr>
                      <w:rFonts w:ascii="宋体" w:hAnsi="宋体"/>
                      <w:szCs w:val="21"/>
                    </w:rPr>
                  </w:pPr>
                </w:p>
                <w:p>
                  <w:pPr>
                    <w:spacing w:line="340" w:lineRule="exact"/>
                    <w:jc w:val="left"/>
                    <w:rPr>
                      <w:rFonts w:hint="eastAsia" w:ascii="宋体" w:hAnsi="宋体"/>
                      <w:b/>
                      <w:bCs/>
                      <w:szCs w:val="21"/>
                    </w:rPr>
                  </w:pPr>
                  <w:r>
                    <w:rPr>
                      <w:rFonts w:hint="eastAsia" w:ascii="宋体" w:hAnsi="宋体"/>
                      <w:b/>
                      <w:bCs/>
                      <w:szCs w:val="21"/>
                    </w:rPr>
                    <w:t>10-2社会认可度</w:t>
                  </w:r>
                </w:p>
                <w:p>
                  <w:pPr>
                    <w:spacing w:line="480" w:lineRule="exact"/>
                    <w:ind w:right="443" w:rightChars="211"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学生通过本课程的学习，理解了本课程在专业中的地位、作用和价值。明确了掌握文秘专业各项工作实践这一学习目的，特别是对各种操作技能的实训课兴趣很大，都能认真刻苦训练，期末学生考试成绩合格率都在95%以上，学生毕业时可获得学历毕业证、职业资格等级证，获证率98%。近年来我校文秘专业学生取得省级以上成绩有：</w:t>
                  </w:r>
                </w:p>
                <w:p>
                  <w:pPr>
                    <w:spacing w:line="480" w:lineRule="exact"/>
                    <w:ind w:firstLine="420"/>
                    <w:jc w:val="left"/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</w:pPr>
                  <w:r>
                    <w:rPr>
                      <w:rFonts w:hint="eastAsia" w:ascii="宋体" w:hAnsi="宋体" w:cs="宋体"/>
                      <w:kern w:val="0"/>
                      <w:szCs w:val="21"/>
                      <w:lang w:val="zh-CN"/>
                    </w:rPr>
                    <w:t>近三年文秘专业学生参加省级以上大赛成绩表</w:t>
                  </w:r>
                </w:p>
                <w:tbl>
                  <w:tblPr>
                    <w:tblStyle w:val="3"/>
                    <w:tblW w:w="7706" w:type="dxa"/>
                    <w:tblInd w:w="0" w:type="dxa"/>
                    <w:tblBorders>
                      <w:top w:val="single" w:color="auto" w:sz="4" w:space="0"/>
                      <w:left w:val="single" w:color="auto" w:sz="4" w:space="0"/>
                      <w:bottom w:val="single" w:color="auto" w:sz="4" w:space="0"/>
                      <w:right w:val="single" w:color="auto" w:sz="4" w:space="0"/>
                      <w:insideH w:val="single" w:color="auto" w:sz="4" w:space="0"/>
                      <w:insideV w:val="single" w:color="auto" w:sz="4" w:space="0"/>
                    </w:tblBorders>
                    <w:tblLayout w:type="fixed"/>
                    <w:tblCellMar>
                      <w:top w:w="0" w:type="dxa"/>
                      <w:left w:w="108" w:type="dxa"/>
                      <w:bottom w:w="0" w:type="dxa"/>
                      <w:right w:w="108" w:type="dxa"/>
                    </w:tblCellMar>
                  </w:tblPr>
                  <w:tblGrid>
                    <w:gridCol w:w="959"/>
                    <w:gridCol w:w="1816"/>
                    <w:gridCol w:w="3000"/>
                    <w:gridCol w:w="1931"/>
                  </w:tblGrid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  <w:t>年度</w:t>
                        </w:r>
                      </w:p>
                    </w:tc>
                    <w:tc>
                      <w:tcPr>
                        <w:tcW w:w="1816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  <w:t>工种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  <w:t>选手名单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b/>
                            <w:bCs/>
                            <w:sz w:val="24"/>
                          </w:rPr>
                          <w:t>竞赛成绩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restart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2015</w:t>
                        </w:r>
                      </w:p>
                    </w:tc>
                    <w:tc>
                      <w:tcPr>
                        <w:tcW w:w="1816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技能大赛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董雨晴</w:t>
                        </w:r>
                      </w:p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王丽君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省三等奖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restart"/>
                        <w:vAlign w:val="top"/>
                      </w:tcPr>
                      <w:p>
                        <w:pPr>
                          <w:ind w:left="480" w:hanging="480" w:hangingChars="200"/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文明风采大赛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梅慧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省一等奖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continue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曹婷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省一等奖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restart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2016</w:t>
                        </w:r>
                      </w:p>
                    </w:tc>
                    <w:tc>
                      <w:tcPr>
                        <w:tcW w:w="1816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技能大赛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唐  枫</w:t>
                        </w:r>
                      </w:p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汪丽君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省三等奖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restart"/>
                        <w:vAlign w:val="top"/>
                      </w:tcPr>
                      <w:p>
                        <w:pPr>
                          <w:ind w:left="480" w:hanging="480" w:hangingChars="200"/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文明风采大赛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吴祎雄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市一等奖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continue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张子豪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市二等奖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restart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2017</w:t>
                        </w:r>
                      </w:p>
                    </w:tc>
                    <w:tc>
                      <w:tcPr>
                        <w:tcW w:w="1816" w:type="dxa"/>
                        <w:vMerge w:val="restart"/>
                        <w:vAlign w:val="top"/>
                      </w:tcPr>
                      <w:p>
                        <w:pPr>
                          <w:ind w:left="240" w:hanging="240" w:hangingChars="100"/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文明风采大赛</w:t>
                        </w: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欧阳晨晨、李静、孙美艳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一等奖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刘益姝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三等奖</w:t>
                        </w:r>
                      </w:p>
                    </w:tc>
                  </w:tr>
                  <w:tr>
                    <w:tblPrEx>
                      <w:tblBorders>
                        <w:top w:val="single" w:color="auto" w:sz="4" w:space="0"/>
                        <w:left w:val="single" w:color="auto" w:sz="4" w:space="0"/>
                        <w:bottom w:val="single" w:color="auto" w:sz="4" w:space="0"/>
                        <w:right w:val="single" w:color="auto" w:sz="4" w:space="0"/>
                        <w:insideH w:val="single" w:color="auto" w:sz="4" w:space="0"/>
                        <w:insideV w:val="single" w:color="auto" w:sz="4" w:space="0"/>
                      </w:tblBorders>
                      <w:tblLayout w:type="fixed"/>
                      <w:tblCellMar>
                        <w:top w:w="0" w:type="dxa"/>
                        <w:left w:w="108" w:type="dxa"/>
                        <w:bottom w:w="0" w:type="dxa"/>
                        <w:right w:w="108" w:type="dxa"/>
                      </w:tblCellMar>
                    </w:tblPrEx>
                    <w:tc>
                      <w:tcPr>
                        <w:tcW w:w="959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1816" w:type="dxa"/>
                        <w:vMerge w:val="continue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</w:p>
                    </w:tc>
                    <w:tc>
                      <w:tcPr>
                        <w:tcW w:w="3000" w:type="dxa"/>
                        <w:vAlign w:val="top"/>
                      </w:tcPr>
                      <w:p>
                        <w:pPr>
                          <w:jc w:val="center"/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李传慧</w:t>
                        </w:r>
                      </w:p>
                    </w:tc>
                    <w:tc>
                      <w:tcPr>
                        <w:tcW w:w="1931" w:type="dxa"/>
                        <w:vAlign w:val="top"/>
                      </w:tcPr>
                      <w:p>
                        <w:pPr>
                          <w:rPr>
                            <w:rFonts w:hint="eastAsia" w:ascii="仿宋" w:hAnsi="仿宋" w:eastAsia="仿宋"/>
                            <w:sz w:val="24"/>
                          </w:rPr>
                        </w:pPr>
                        <w:r>
                          <w:rPr>
                            <w:rFonts w:hint="eastAsia" w:ascii="仿宋" w:hAnsi="仿宋" w:eastAsia="仿宋"/>
                            <w:sz w:val="24"/>
                          </w:rPr>
                          <w:t>三等奖</w:t>
                        </w:r>
                      </w:p>
                    </w:tc>
                  </w:tr>
                </w:tbl>
                <w:p>
                  <w:pPr>
                    <w:jc w:val="left"/>
                    <w:rPr>
                      <w:rFonts w:hint="eastAsia" w:ascii="FangSong_GB2312" w:hAnsi="宋体" w:eastAsia="FangSong_GB2312"/>
                      <w:b/>
                      <w:bCs w:val="0"/>
                      <w:szCs w:val="21"/>
                    </w:rPr>
                  </w:pPr>
                  <w:r>
                    <w:rPr>
                      <w:rFonts w:hint="eastAsia" w:ascii="FangSong_GB2312" w:hAnsi="宋体" w:eastAsia="FangSong_GB2312"/>
                      <w:b/>
                      <w:bCs w:val="0"/>
                      <w:szCs w:val="21"/>
                    </w:rPr>
                    <w:t>学生获得的职业资格证书：</w:t>
                  </w:r>
                </w:p>
                <w:p>
                  <w:pPr>
                    <w:jc w:val="left"/>
                    <w:rPr>
                      <w:rFonts w:hint="eastAsia" w:ascii="FangSong_GB2312" w:hAnsi="宋体" w:eastAsia="FangSong_GB2312"/>
                      <w:bCs/>
                      <w:color w:val="FF0000"/>
                      <w:szCs w:val="21"/>
                    </w:rPr>
                  </w:pPr>
                  <w:r>
                    <w:rPr>
                      <w:rFonts w:hint="eastAsia"/>
                    </w:rPr>
                    <w:drawing>
                      <wp:inline distT="0" distB="0" distL="114300" distR="114300">
                        <wp:extent cx="5267960" cy="3951605"/>
                        <wp:effectExtent l="0" t="0" r="5080" b="10795"/>
                        <wp:docPr id="6" name="图片 1" descr="学校文秘专业2016年学生考证统计表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图片 1" descr="学校文秘专业2016年学生考证统计表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67960" cy="39516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>
                  <w:pPr>
                    <w:jc w:val="left"/>
                    <w:rPr>
                      <w:rFonts w:hint="eastAsia" w:ascii="FangSong_GB2312" w:hAnsi="宋体" w:eastAsia="FangSong_GB2312"/>
                      <w:bCs/>
                      <w:color w:val="FF0000"/>
                      <w:szCs w:val="21"/>
                    </w:rPr>
                  </w:pPr>
                </w:p>
                <w:p>
                  <w:pPr>
                    <w:jc w:val="left"/>
                    <w:rPr>
                      <w:rFonts w:hint="eastAsia" w:ascii="FangSong_GB2312" w:hAnsi="宋体" w:eastAsia="FangSong_GB2312"/>
                      <w:bCs/>
                      <w:color w:val="FF0000"/>
                      <w:szCs w:val="21"/>
                    </w:rPr>
                  </w:pPr>
                </w:p>
                <w:p>
                  <w:pPr>
                    <w:jc w:val="left"/>
                    <w:rPr>
                      <w:rFonts w:hint="eastAsia" w:ascii="FangSong_GB2312" w:hAnsi="宋体" w:eastAsia="FangSong_GB2312"/>
                      <w:bCs/>
                      <w:color w:val="FF0000"/>
                      <w:szCs w:val="21"/>
                    </w:rPr>
                  </w:pPr>
                  <w:r>
                    <w:rPr>
                      <w:rFonts w:hint="eastAsia"/>
                    </w:rPr>
                    <w:t xml:space="preserve"> </w:t>
                  </w:r>
                  <w:r>
                    <w:rPr>
                      <w:rFonts w:hint="eastAsia"/>
                    </w:rPr>
                    <w:drawing>
                      <wp:inline distT="0" distB="0" distL="114300" distR="114300">
                        <wp:extent cx="1795145" cy="1660525"/>
                        <wp:effectExtent l="0" t="0" r="3175" b="635"/>
                        <wp:docPr id="2" name="图片 2" descr="学校文秘专业学生的计算机操作员资格证书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图片 2" descr="学校文秘专业学生的计算机操作员资格证书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5145" cy="1660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hint="eastAsia"/>
                    </w:rPr>
                    <w:t xml:space="preserve">            </w:t>
                  </w:r>
                  <w:r>
                    <w:rPr>
                      <w:color w:val="FF0000"/>
                    </w:rPr>
                    <w:object>
                      <v:shape id="_x0000_i1027" o:spt="75" type="#_x0000_t75" style="height:90.2pt;width:176.2pt;" o:ole="t" filled="f" o:preferrelative="t" stroked="f" coordsize="21600,21600">
                        <v:path/>
                        <v:fill on="f" focussize="0,0"/>
                        <v:stroke on="f"/>
                        <v:imagedata r:id="rId12" o:title=""/>
                        <o:lock v:ext="edit" aspectratio="t"/>
                        <w10:wrap type="none"/>
                        <w10:anchorlock/>
                      </v:shape>
                      <o:OLEObject Type="Embed" ProgID="PBrush" ShapeID="_x0000_i1027" DrawAspect="Content" ObjectID="_1468075725" r:id="rId11">
                        <o:LockedField>false</o:LockedField>
                      </o:OLEObject>
                    </w:object>
                  </w:r>
                </w:p>
                <w:p>
                  <w:pPr>
                    <w:jc w:val="left"/>
                    <w:rPr>
                      <w:rFonts w:hint="eastAsia"/>
                      <w:color w:val="FF0000"/>
                    </w:rPr>
                  </w:pPr>
                  <w:r>
                    <w:rPr>
                      <w:rFonts w:hint="eastAsia"/>
                      <w:color w:val="FF0000"/>
                    </w:rPr>
                    <w:t xml:space="preserve"> </w:t>
                  </w:r>
                </w:p>
                <w:p>
                  <w:pPr>
                    <w:rPr>
                      <w:rFonts w:hint="eastAsia" w:ascii="仿宋" w:hAnsi="仿宋" w:eastAsia="仿宋" w:cs="仿宋"/>
                      <w:bCs/>
                      <w:sz w:val="24"/>
                    </w:rPr>
                  </w:pPr>
                </w:p>
                <w:p>
                  <w:pPr>
                    <w:rPr>
                      <w:rFonts w:hint="eastAsia" w:ascii="仿宋" w:hAnsi="仿宋" w:eastAsia="仿宋" w:cs="仿宋"/>
                      <w:bCs/>
                      <w:sz w:val="24"/>
                    </w:rPr>
                  </w:pPr>
                </w:p>
                <w:p>
                  <w:pPr>
                    <w:rPr>
                      <w:rFonts w:hint="eastAsia" w:ascii="仿宋" w:hAnsi="仿宋" w:eastAsia="仿宋" w:cs="仿宋"/>
                      <w:bCs/>
                      <w:sz w:val="24"/>
                    </w:rPr>
                  </w:pPr>
                </w:p>
                <w:p>
                  <w:pPr>
                    <w:rPr>
                      <w:rFonts w:hint="eastAsia" w:ascii="仿宋" w:hAnsi="仿宋" w:eastAsia="仿宋" w:cs="仿宋"/>
                      <w:bCs/>
                      <w:sz w:val="24"/>
                    </w:rPr>
                  </w:pPr>
                </w:p>
                <w:p>
                  <w:pPr>
                    <w:rPr>
                      <w:rFonts w:hint="eastAsia" w:ascii="仿宋" w:hAnsi="仿宋" w:eastAsia="仿宋" w:cs="仿宋"/>
                      <w:b/>
                      <w:bCs w:val="0"/>
                      <w:sz w:val="24"/>
                    </w:rPr>
                  </w:pPr>
                  <w:r>
                    <w:rPr>
                      <w:rFonts w:hint="eastAsia" w:ascii="仿宋" w:hAnsi="仿宋" w:eastAsia="仿宋" w:cs="仿宋"/>
                      <w:b/>
                      <w:bCs w:val="0"/>
                      <w:sz w:val="24"/>
                    </w:rPr>
                    <w:t>领导评价：</w:t>
                  </w:r>
                </w:p>
                <w:p>
                  <w:pPr>
                    <w:widowControl/>
                    <w:shd w:val="clear" w:color="auto" w:fill="FFFFFF"/>
                    <w:spacing w:before="100" w:beforeAutospacing="1" w:after="100" w:afterAutospacing="1"/>
                    <w:ind w:right="443" w:rightChars="211" w:firstLine="480"/>
                    <w:rPr>
                      <w:rFonts w:hint="eastAsia" w:ascii="仿宋" w:hAnsi="仿宋" w:eastAsia="仿宋" w:cs="仿宋"/>
                      <w:color w:val="2B4A78"/>
                      <w:sz w:val="24"/>
                    </w:rPr>
                  </w:pPr>
                  <w:r>
                    <w:rPr>
                      <w:rFonts w:hint="eastAsia" w:ascii="仿宋" w:hAnsi="仿宋" w:eastAsia="仿宋" w:cs="仿宋"/>
                      <w:sz w:val="24"/>
                    </w:rPr>
                    <w:drawing>
                      <wp:anchor distT="0" distB="0" distL="114300" distR="114300" simplePos="0" relativeHeight="251743232" behindDoc="0" locked="0" layoutInCell="1" allowOverlap="1">
                        <wp:simplePos x="0" y="0"/>
                        <wp:positionH relativeFrom="column">
                          <wp:posOffset>-36830</wp:posOffset>
                        </wp:positionH>
                        <wp:positionV relativeFrom="paragraph">
                          <wp:posOffset>1707515</wp:posOffset>
                        </wp:positionV>
                        <wp:extent cx="3240405" cy="2155190"/>
                        <wp:effectExtent l="0" t="0" r="5715" b="8890"/>
                        <wp:wrapSquare wrapText="bothSides"/>
                        <wp:docPr id="1" name="图片 7" descr="IMG_2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图片 7" descr="IMG_2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40405" cy="2155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hint="eastAsia" w:ascii="仿宋" w:hAnsi="仿宋" w:eastAsia="仿宋" w:cs="仿宋"/>
                      <w:sz w:val="24"/>
                    </w:rPr>
                    <w:drawing>
                      <wp:anchor distT="0" distB="0" distL="114300" distR="114300" simplePos="0" relativeHeight="251742208" behindDoc="0" locked="0" layoutInCell="1" allowOverlap="1">
                        <wp:simplePos x="0" y="0"/>
                        <wp:positionH relativeFrom="column">
                          <wp:posOffset>3506470</wp:posOffset>
                        </wp:positionH>
                        <wp:positionV relativeFrom="paragraph">
                          <wp:posOffset>410210</wp:posOffset>
                        </wp:positionV>
                        <wp:extent cx="1407160" cy="1664970"/>
                        <wp:effectExtent l="0" t="0" r="10160" b="11430"/>
                        <wp:wrapSquare wrapText="bothSides"/>
                        <wp:docPr id="7" name="图片 8" descr="IMG_2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图片 8" descr="IMG_2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7160" cy="16649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hint="eastAsia" w:ascii="仿宋" w:hAnsi="仿宋" w:eastAsia="仿宋" w:cs="仿宋"/>
                      <w:bCs/>
                      <w:sz w:val="24"/>
                    </w:rPr>
                    <w:t xml:space="preserve">   2018年 </w:t>
                  </w:r>
                  <w:r>
                    <w:rPr>
                      <w:rFonts w:hint="eastAsia" w:ascii="仿宋" w:hAnsi="仿宋" w:eastAsia="仿宋" w:cs="仿宋"/>
                      <w:kern w:val="0"/>
                      <w:sz w:val="24"/>
                      <w:shd w:val="clear" w:color="auto" w:fill="FFFFFF"/>
                      <w:lang w:bidi="ar"/>
                    </w:rPr>
                    <w:t>3月30日下午，国家发改委国际合作中心一行三人莅临我校调研“中德合作职业教育”，参观了我校，对我校的办学思路、管理水平、办学条件及办学成绩表示了充分的肯定，杨培靖副县长对各位领导的到来再次表示衷心的感谢和热烈的欢迎，她强调国家发改委国际合作中心搭建平台，让我县的职业学校学习德国先进的职教理念，加强与德国优质教育机构，优秀企业、行业协会等开展交流，对于提高学校人才培养质量、扩大办学影响力具有十分重要的意义，下一步，学校要加强沟通与对接，使中德合作的校企双方能够互惠共赢。</w:t>
                  </w:r>
                </w:p>
                <w:p>
                  <w:pPr>
                    <w:jc w:val="left"/>
                    <w:rPr>
                      <w:rFonts w:hint="eastAsia" w:ascii="FangSong_GB2312" w:hAnsi="宋体" w:eastAsia="FangSong_GB2312"/>
                      <w:bCs/>
                      <w:color w:val="FF0000"/>
                      <w:szCs w:val="21"/>
                    </w:rPr>
                  </w:pPr>
                </w:p>
                <w:p>
                  <w:pPr>
                    <w:spacing w:line="440" w:lineRule="exact"/>
                    <w:ind w:firstLine="420" w:firstLineChars="200"/>
                    <w:jc w:val="left"/>
                    <w:rPr>
                      <w:rFonts w:hint="eastAsia" w:ascii="宋体" w:hAnsi="宋体"/>
                      <w:bCs/>
                      <w:szCs w:val="21"/>
                    </w:rPr>
                  </w:pPr>
                </w:p>
              </w:tc>
            </w:tr>
          </w:tbl>
          <w:p>
            <w:pPr>
              <w:spacing w:line="480" w:lineRule="exact"/>
              <w:jc w:val="left"/>
              <w:rPr>
                <w:rFonts w:hint="eastAsia" w:ascii="FangSong_GB2312" w:hAnsi="宋体" w:eastAsia="FangSong_GB2312"/>
                <w:bCs/>
                <w:szCs w:val="21"/>
              </w:rPr>
            </w:pPr>
            <w:bookmarkStart w:id="0" w:name="_GoBack"/>
            <w:bookmarkEnd w:id="0"/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FangSong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A80FCA"/>
    <w:rsid w:val="5DA80FCA"/>
    <w:rsid w:val="6D5350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png"/><Relationship Id="rId11" Type="http://schemas.openxmlformats.org/officeDocument/2006/relationships/oleObject" Target="embeddings/oleObject1.bin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2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Office_10.1.0.7520_F1E327BC-269C-435d-A152-05C5408002CA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2018-10-24T01:14:00Z</dcterms:created>
  <dc:creator>我爱咖啡</dc:creator>
  <cp:lastModifiedBy>我爱咖啡</cp:lastModifiedBy>
  <dcterms:modified xsi:type="dcterms:W3CDTF">2018-10-24T01:15:53Z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2052-10.1.0.7520</vt:lpwstr>
  </property>
</Properties>
</file>