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FangSong_GB2312" w:hAnsi="宋体" w:eastAsia="FangSong_GB2312"/>
          <w:b/>
          <w:sz w:val="28"/>
        </w:rPr>
      </w:pPr>
      <w:r>
        <w:rPr>
          <w:rFonts w:hint="eastAsia" w:ascii="FangSong_GB2312" w:hAnsi="宋体" w:eastAsia="FangSong_GB2312"/>
          <w:b/>
          <w:sz w:val="28"/>
        </w:rPr>
        <w:t>6．教学内容</w:t>
      </w:r>
    </w:p>
    <w:tbl>
      <w:tblPr>
        <w:tblStyle w:val="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8640" w:type="dxa"/>
            <w:vAlign w:val="top"/>
          </w:tcPr>
          <w:p>
            <w:pPr>
              <w:jc w:val="left"/>
              <w:rPr>
                <w:rFonts w:hint="eastAsia" w:ascii="FangSong_GB2312" w:hAnsi="宋体" w:eastAsia="FangSong_GB2312"/>
                <w:b/>
                <w:bCs/>
                <w:color w:val="000000"/>
                <w:szCs w:val="21"/>
              </w:rPr>
            </w:pPr>
            <w:r>
              <w:rPr>
                <w:rFonts w:hint="eastAsia" w:ascii="FangSong_GB2312" w:hAnsi="宋体" w:eastAsia="FangSong_GB2312"/>
                <w:b/>
                <w:bCs/>
                <w:color w:val="000000"/>
                <w:szCs w:val="21"/>
              </w:rPr>
              <w:t>6-1 教学内容的针对性与适用性</w:t>
            </w:r>
          </w:p>
          <w:p>
            <w:pPr>
              <w:spacing w:line="480" w:lineRule="exact"/>
              <w:jc w:val="left"/>
              <w:rPr>
                <w:rFonts w:hint="eastAsia" w:ascii="宋体" w:hAnsi="宋体"/>
                <w:b/>
                <w:color w:val="000000"/>
                <w:szCs w:val="21"/>
              </w:rPr>
            </w:pPr>
            <w:r>
              <w:rPr>
                <w:rFonts w:hint="eastAsia" w:ascii="宋体" w:hAnsi="宋体"/>
                <w:b/>
                <w:color w:val="000000"/>
                <w:szCs w:val="21"/>
              </w:rPr>
              <w:t>课程内容的选取</w:t>
            </w:r>
          </w:p>
          <w:p>
            <w:pPr>
              <w:spacing w:line="480" w:lineRule="exact"/>
              <w:ind w:firstLine="422" w:firstLineChars="200"/>
              <w:jc w:val="left"/>
              <w:rPr>
                <w:rFonts w:hint="eastAsia" w:ascii="宋体" w:hAnsi="宋体" w:eastAsia="宋体" w:cs="宋体"/>
                <w:color w:val="000000"/>
                <w:sz w:val="21"/>
                <w:szCs w:val="21"/>
              </w:rPr>
            </w:pPr>
            <w:r>
              <w:rPr>
                <w:rFonts w:hint="eastAsia" w:ascii="宋体" w:hAnsi="宋体"/>
                <w:b/>
                <w:color w:val="000000"/>
                <w:szCs w:val="21"/>
              </w:rPr>
              <w:t>课程内容选取理由和依据：</w:t>
            </w:r>
            <w:r>
              <w:rPr>
                <w:rFonts w:hint="eastAsia" w:ascii="宋体" w:hAnsi="宋体" w:eastAsia="宋体" w:cs="宋体"/>
                <w:b w:val="0"/>
                <w:bCs/>
                <w:color w:val="000000"/>
                <w:sz w:val="21"/>
                <w:szCs w:val="21"/>
                <w:lang w:eastAsia="zh-CN"/>
              </w:rPr>
              <w:t>随着改革开放的深入和社会主义市场经济的高速发展，使得秘书这一传统行政职位，由党政机关和国家企事业单位普遍设置到逐步扩展，现已成为众多民营企业管理层中不可或缺的组成部分，呈现出新的就业格局和新的工作特点，并表现出就业市场对秘书人员新的更高的技能要求。</w:t>
            </w: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秘书基础</w:t>
            </w:r>
            <w:r>
              <w:rPr>
                <w:rFonts w:hint="eastAsia" w:ascii="宋体" w:hAnsi="宋体" w:eastAsia="宋体" w:cs="宋体"/>
                <w:b w:val="0"/>
                <w:bCs/>
                <w:color w:val="000000"/>
                <w:sz w:val="21"/>
                <w:szCs w:val="21"/>
              </w:rPr>
              <w:t>》</w:t>
            </w:r>
            <w:r>
              <w:rPr>
                <w:rFonts w:hint="eastAsia" w:ascii="宋体" w:hAnsi="宋体" w:eastAsia="宋体" w:cs="宋体"/>
                <w:color w:val="000000"/>
                <w:sz w:val="21"/>
                <w:szCs w:val="21"/>
              </w:rPr>
              <w:t>是</w:t>
            </w:r>
            <w:r>
              <w:rPr>
                <w:rFonts w:hint="eastAsia" w:ascii="宋体" w:hAnsi="宋体" w:eastAsia="宋体" w:cs="宋体"/>
                <w:color w:val="000000"/>
                <w:sz w:val="21"/>
                <w:szCs w:val="21"/>
                <w:lang w:eastAsia="zh-CN"/>
              </w:rPr>
              <w:t>中职学校文秘专业学生的主干课程之一</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课程内容的选择原则是：通过企业调研，深入了解企</w:t>
            </w:r>
            <w:r>
              <w:rPr>
                <w:rFonts w:hint="eastAsia" w:ascii="宋体" w:hAnsi="宋体" w:eastAsia="宋体" w:cs="宋体"/>
                <w:color w:val="000000"/>
                <w:sz w:val="21"/>
                <w:szCs w:val="21"/>
                <w:lang w:eastAsia="zh-CN"/>
              </w:rPr>
              <w:t>事业单位对文秘人员</w:t>
            </w:r>
            <w:r>
              <w:rPr>
                <w:rFonts w:hint="eastAsia" w:ascii="宋体" w:hAnsi="宋体" w:eastAsia="宋体" w:cs="宋体"/>
                <w:color w:val="000000"/>
                <w:sz w:val="21"/>
                <w:szCs w:val="21"/>
              </w:rPr>
              <w:t>岗位技能</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需求，依据岗位知识、能力、素质、技能要求等选取课程主体内容，同时将职业标准、职业道德及职业素质养成相关内容融入课程。</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秘书基础</w:t>
            </w:r>
            <w:r>
              <w:rPr>
                <w:rFonts w:hint="eastAsia" w:ascii="宋体" w:hAnsi="宋体" w:eastAsia="宋体" w:cs="宋体"/>
                <w:color w:val="000000"/>
                <w:sz w:val="21"/>
                <w:szCs w:val="21"/>
              </w:rPr>
              <w:t>》课程教学内容的选择以现代</w:t>
            </w:r>
            <w:r>
              <w:rPr>
                <w:rFonts w:hint="eastAsia" w:ascii="宋体" w:hAnsi="宋体" w:eastAsia="宋体" w:cs="宋体"/>
                <w:color w:val="000000"/>
                <w:sz w:val="21"/>
                <w:szCs w:val="21"/>
                <w:lang w:eastAsia="zh-CN"/>
              </w:rPr>
              <w:t>文秘人员</w:t>
            </w:r>
            <w:r>
              <w:rPr>
                <w:rFonts w:hint="eastAsia" w:ascii="宋体" w:hAnsi="宋体" w:eastAsia="宋体" w:cs="宋体"/>
                <w:color w:val="000000"/>
                <w:sz w:val="21"/>
                <w:szCs w:val="21"/>
              </w:rPr>
              <w:t>岗位主要工作任务为基础，选择岗位能力中的</w:t>
            </w:r>
            <w:r>
              <w:rPr>
                <w:rFonts w:hint="eastAsia" w:ascii="宋体" w:hAnsi="宋体" w:eastAsia="宋体" w:cs="宋体"/>
                <w:color w:val="000000"/>
                <w:sz w:val="21"/>
                <w:szCs w:val="21"/>
                <w:lang w:eastAsia="zh-CN"/>
              </w:rPr>
              <w:t>办文</w:t>
            </w:r>
            <w:r>
              <w:rPr>
                <w:rFonts w:hint="eastAsia" w:ascii="宋体" w:hAnsi="宋体" w:eastAsia="宋体" w:cs="宋体"/>
                <w:color w:val="000000"/>
                <w:sz w:val="21"/>
                <w:szCs w:val="21"/>
              </w:rPr>
              <w:t>能力、</w:t>
            </w:r>
            <w:r>
              <w:rPr>
                <w:rFonts w:hint="eastAsia" w:ascii="宋体" w:hAnsi="宋体" w:eastAsia="宋体" w:cs="宋体"/>
                <w:color w:val="000000"/>
                <w:sz w:val="21"/>
                <w:szCs w:val="21"/>
                <w:lang w:eastAsia="zh-CN"/>
              </w:rPr>
              <w:t>办事</w:t>
            </w:r>
            <w:r>
              <w:rPr>
                <w:rFonts w:hint="eastAsia" w:ascii="宋体" w:hAnsi="宋体" w:eastAsia="宋体" w:cs="宋体"/>
                <w:color w:val="000000"/>
                <w:sz w:val="21"/>
                <w:szCs w:val="21"/>
              </w:rPr>
              <w:t>能力</w:t>
            </w:r>
            <w:r>
              <w:rPr>
                <w:rFonts w:hint="eastAsia" w:ascii="宋体" w:hAnsi="宋体" w:eastAsia="宋体" w:cs="宋体"/>
                <w:color w:val="000000"/>
                <w:sz w:val="21"/>
                <w:szCs w:val="21"/>
                <w:lang w:eastAsia="zh-CN"/>
              </w:rPr>
              <w:t>和办会能力</w:t>
            </w:r>
            <w:r>
              <w:rPr>
                <w:rFonts w:hint="eastAsia" w:ascii="宋体" w:hAnsi="宋体" w:eastAsia="宋体" w:cs="宋体"/>
                <w:color w:val="000000"/>
                <w:sz w:val="21"/>
                <w:szCs w:val="21"/>
              </w:rPr>
              <w:t>作为主要能力培养目标，以上能力所需的知识点、技能点作为主体教学内容。</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秘书基础</w:t>
            </w:r>
            <w:r>
              <w:rPr>
                <w:rFonts w:hint="eastAsia" w:ascii="宋体" w:hAnsi="宋体" w:eastAsia="宋体" w:cs="宋体"/>
                <w:color w:val="000000"/>
                <w:sz w:val="21"/>
                <w:szCs w:val="21"/>
              </w:rPr>
              <w:t>》课程教学内容载体以学生就业主要企业主体作业项目为基础进行选择，充分体现教学内容的职业性、实践性。将课程内容分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个模块进行：</w:t>
            </w:r>
          </w:p>
          <w:p>
            <w:pPr>
              <w:spacing w:line="480" w:lineRule="exact"/>
              <w:ind w:left="1214" w:leftChars="228" w:hanging="735" w:hangingChars="350"/>
              <w:jc w:val="left"/>
              <w:rPr>
                <w:rFonts w:hint="eastAsia" w:ascii="宋体" w:hAnsi="宋体" w:eastAsia="宋体" w:cs="宋体"/>
                <w:color w:val="000000"/>
                <w:sz w:val="21"/>
                <w:szCs w:val="21"/>
              </w:rPr>
            </w:pPr>
            <w:r>
              <w:rPr>
                <w:rFonts w:hint="eastAsia" w:ascii="宋体" w:hAnsi="宋体" w:eastAsia="宋体" w:cs="宋体"/>
                <w:color w:val="000000"/>
                <w:sz w:val="21"/>
                <w:szCs w:val="21"/>
              </w:rPr>
              <w:t>模块1：</w:t>
            </w:r>
            <w:r>
              <w:rPr>
                <w:rFonts w:hint="eastAsia" w:ascii="宋体" w:hAnsi="宋体" w:eastAsia="宋体" w:cs="宋体"/>
                <w:color w:val="000000"/>
                <w:sz w:val="21"/>
                <w:szCs w:val="21"/>
                <w:lang w:eastAsia="zh-CN"/>
              </w:rPr>
              <w:t>秘书工作简介</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模块2：</w:t>
            </w:r>
            <w:r>
              <w:rPr>
                <w:rFonts w:hint="eastAsia" w:ascii="宋体" w:hAnsi="宋体" w:eastAsia="宋体" w:cs="宋体"/>
                <w:color w:val="000000"/>
                <w:sz w:val="21"/>
                <w:szCs w:val="21"/>
                <w:lang w:eastAsia="zh-CN"/>
              </w:rPr>
              <w:t>信息与秘书工作</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模块3：</w:t>
            </w:r>
            <w:r>
              <w:rPr>
                <w:rFonts w:hint="eastAsia" w:ascii="宋体" w:hAnsi="宋体" w:eastAsia="宋体" w:cs="宋体"/>
                <w:color w:val="000000"/>
                <w:sz w:val="21"/>
                <w:szCs w:val="21"/>
                <w:lang w:eastAsia="zh-CN"/>
              </w:rPr>
              <w:t>辅佐决策</w:t>
            </w:r>
          </w:p>
          <w:p>
            <w:pPr>
              <w:spacing w:line="480" w:lineRule="exact"/>
              <w:ind w:left="1214" w:leftChars="228" w:hanging="735" w:hangingChars="350"/>
              <w:jc w:val="left"/>
              <w:rPr>
                <w:rFonts w:hint="eastAsia" w:ascii="宋体" w:hAnsi="宋体" w:eastAsia="宋体" w:cs="宋体"/>
                <w:color w:val="000000"/>
                <w:sz w:val="21"/>
                <w:szCs w:val="21"/>
              </w:rPr>
            </w:pPr>
            <w:r>
              <w:rPr>
                <w:rFonts w:hint="eastAsia" w:ascii="宋体" w:hAnsi="宋体" w:eastAsia="宋体" w:cs="宋体"/>
                <w:color w:val="000000"/>
                <w:sz w:val="21"/>
                <w:szCs w:val="21"/>
              </w:rPr>
              <w:t>模块4：</w:t>
            </w:r>
            <w:r>
              <w:rPr>
                <w:rFonts w:hint="eastAsia" w:ascii="宋体" w:hAnsi="宋体" w:eastAsia="宋体" w:cs="宋体"/>
                <w:color w:val="000000"/>
                <w:sz w:val="21"/>
                <w:szCs w:val="21"/>
                <w:lang w:eastAsia="zh-CN"/>
              </w:rPr>
              <w:t>检查督办</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沟通协调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调查研究</w:t>
            </w:r>
          </w:p>
          <w:p>
            <w:pPr>
              <w:spacing w:line="480" w:lineRule="exact"/>
              <w:ind w:left="1214" w:leftChars="228" w:hanging="735" w:hangingChars="350"/>
              <w:jc w:val="left"/>
              <w:rPr>
                <w:rFonts w:hint="eastAsia" w:ascii="宋体" w:hAnsi="宋体" w:eastAsia="宋体" w:cs="宋体"/>
                <w:color w:val="000000"/>
                <w:sz w:val="21"/>
                <w:szCs w:val="21"/>
              </w:rPr>
            </w:pP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会议工作</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信访与值班</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日常事务</w:t>
            </w:r>
          </w:p>
          <w:p>
            <w:pPr>
              <w:spacing w:line="480" w:lineRule="exact"/>
              <w:ind w:left="1214" w:leftChars="228" w:hanging="735" w:hangingChars="35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模块</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保密工作</w:t>
            </w:r>
            <w:r>
              <w:rPr>
                <w:rFonts w:hint="eastAsia" w:ascii="宋体" w:hAnsi="宋体" w:eastAsia="宋体" w:cs="宋体"/>
                <w:color w:val="000000"/>
                <w:sz w:val="21"/>
                <w:szCs w:val="21"/>
                <w:lang w:val="en-US" w:eastAsia="zh-CN"/>
              </w:rPr>
              <w:t xml:space="preserve"> </w:t>
            </w:r>
          </w:p>
          <w:tbl>
            <w:tblPr>
              <w:tblStyle w:val="4"/>
              <w:tblW w:w="899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65"/>
              <w:gridCol w:w="1865"/>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Merge w:val="restart"/>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项目</w:t>
                  </w:r>
                </w:p>
              </w:tc>
              <w:tc>
                <w:tcPr>
                  <w:tcW w:w="1865" w:type="dxa"/>
                  <w:vMerge w:val="restart"/>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内容</w:t>
                  </w:r>
                </w:p>
              </w:tc>
              <w:tc>
                <w:tcPr>
                  <w:tcW w:w="1865" w:type="dxa"/>
                  <w:vMerge w:val="restart"/>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课时</w:t>
                  </w:r>
                </w:p>
              </w:tc>
              <w:tc>
                <w:tcPr>
                  <w:tcW w:w="3730" w:type="dxa"/>
                  <w:gridSpan w:val="2"/>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Merge w:val="continue"/>
                  <w:vAlign w:val="top"/>
                </w:tcPr>
                <w:p>
                  <w:pPr>
                    <w:spacing w:line="480" w:lineRule="exact"/>
                    <w:jc w:val="left"/>
                    <w:rPr>
                      <w:rFonts w:hint="eastAsia" w:ascii="宋体" w:hAnsi="宋体" w:eastAsia="宋体" w:cs="宋体"/>
                      <w:color w:val="000000"/>
                      <w:sz w:val="21"/>
                      <w:szCs w:val="21"/>
                      <w:vertAlign w:val="baseline"/>
                      <w:lang w:val="en-US" w:eastAsia="zh-CN"/>
                    </w:rPr>
                  </w:pPr>
                </w:p>
              </w:tc>
              <w:tc>
                <w:tcPr>
                  <w:tcW w:w="1865" w:type="dxa"/>
                  <w:vMerge w:val="continue"/>
                  <w:vAlign w:val="top"/>
                </w:tcPr>
                <w:p>
                  <w:pPr>
                    <w:spacing w:line="480" w:lineRule="exact"/>
                    <w:jc w:val="left"/>
                    <w:rPr>
                      <w:rFonts w:hint="eastAsia" w:ascii="宋体" w:hAnsi="宋体" w:eastAsia="宋体" w:cs="宋体"/>
                      <w:color w:val="000000"/>
                      <w:sz w:val="21"/>
                      <w:szCs w:val="21"/>
                      <w:vertAlign w:val="baseline"/>
                      <w:lang w:val="en-US" w:eastAsia="zh-CN"/>
                    </w:rPr>
                  </w:pPr>
                </w:p>
              </w:tc>
              <w:tc>
                <w:tcPr>
                  <w:tcW w:w="1865" w:type="dxa"/>
                  <w:vMerge w:val="continue"/>
                  <w:vAlign w:val="top"/>
                </w:tcPr>
                <w:p>
                  <w:pPr>
                    <w:spacing w:line="480" w:lineRule="exact"/>
                    <w:jc w:val="left"/>
                    <w:rPr>
                      <w:rFonts w:hint="eastAsia" w:ascii="宋体" w:hAnsi="宋体" w:eastAsia="宋体" w:cs="宋体"/>
                      <w:color w:val="000000"/>
                      <w:sz w:val="21"/>
                      <w:szCs w:val="21"/>
                      <w:vertAlign w:val="baseline"/>
                      <w:lang w:val="en-US" w:eastAsia="zh-CN"/>
                    </w:rPr>
                  </w:pPr>
                </w:p>
              </w:tc>
              <w:tc>
                <w:tcPr>
                  <w:tcW w:w="1865" w:type="dxa"/>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理论</w:t>
                  </w:r>
                </w:p>
              </w:tc>
              <w:tc>
                <w:tcPr>
                  <w:tcW w:w="1865" w:type="dxa"/>
                  <w:vAlign w:val="top"/>
                </w:tcPr>
                <w:p>
                  <w:pPr>
                    <w:spacing w:line="48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一</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秘书工作简介</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20</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16</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二</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信息与秘书工作</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三</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辅佐决策</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检查督办</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五</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沟通协调</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六</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调查研究</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865" w:type="dxa"/>
                  <w:vAlign w:val="top"/>
                </w:tcPr>
                <w:p>
                  <w:pPr>
                    <w:spacing w:line="48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七</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会议工作</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23</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13</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八</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信访和值班</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8</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5</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九</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日常事务</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13</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7</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十</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保密工作</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10</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5</w:t>
                  </w:r>
                </w:p>
              </w:tc>
              <w:tc>
                <w:tcPr>
                  <w:tcW w:w="1865" w:type="dxa"/>
                  <w:vAlign w:val="top"/>
                </w:tcPr>
                <w:p>
                  <w:pPr>
                    <w:spacing w:line="480" w:lineRule="exact"/>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5</w:t>
                  </w:r>
                </w:p>
              </w:tc>
            </w:tr>
          </w:tbl>
          <w:p>
            <w:pPr>
              <w:jc w:val="left"/>
              <w:rPr>
                <w:rFonts w:hint="eastAsia" w:ascii="宋体" w:hAnsi="宋体" w:eastAsia="宋体"/>
                <w:b w:val="0"/>
                <w:bCs/>
                <w:color w:val="000000"/>
                <w:szCs w:val="21"/>
                <w:lang w:val="en-US" w:eastAsia="zh-CN"/>
              </w:rPr>
            </w:pPr>
            <w:r>
              <w:rPr>
                <w:sz w:val="21"/>
              </w:rPr>
              <mc:AlternateContent>
                <mc:Choice Requires="wps">
                  <w:drawing>
                    <wp:anchor distT="0" distB="0" distL="114300" distR="114300" simplePos="0" relativeHeight="251717632" behindDoc="0" locked="0" layoutInCell="1" allowOverlap="1">
                      <wp:simplePos x="0" y="0"/>
                      <wp:positionH relativeFrom="column">
                        <wp:posOffset>-69850</wp:posOffset>
                      </wp:positionH>
                      <wp:positionV relativeFrom="paragraph">
                        <wp:posOffset>81280</wp:posOffset>
                      </wp:positionV>
                      <wp:extent cx="5509260" cy="2286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509260" cy="22860"/>
                              </a:xfrm>
                              <a:prstGeom prst="line">
                                <a:avLst/>
                              </a:prstGeom>
                              <a:ln w="9525">
                                <a:noFill/>
                              </a:ln>
                            </wps:spPr>
                            <wps:bodyPr upright="1"/>
                          </wps:wsp>
                        </a:graphicData>
                      </a:graphic>
                    </wp:anchor>
                  </w:drawing>
                </mc:Choice>
                <mc:Fallback>
                  <w:pict>
                    <v:line id="_x0000_s1026" o:spid="_x0000_s1026" o:spt="20" style="position:absolute;left:0pt;flip:y;margin-left:-5.5pt;margin-top:6.4pt;height:1.8pt;width:433.8pt;z-index:251717632;mso-width-relative:page;mso-height-relative:page;" filled="f" stroked="f" coordsize="21600,21600" o:gfxdata="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ANtdH9gAAAAJAQAADwAAAAAAAAABACAAAAAiAAAAZHJz&#10;L2Rvd25yZXYueG1sUEsBAhQAFAAAAAgAh07iQBBjWIKSAQAA+AIAAA4AAAAAAAAAAQAgAAAAJwEA&#10;AGRycy9lMm9Eb2MueG1sUEsFBgAAAAAGAAYAWQEAACsFAAAAAA==&#10;">
                      <v:path arrowok="t"/>
                      <v:fill on="f" focussize="0,0"/>
                      <v:stroke on="f"/>
                      <v:imagedata o:title=""/>
                      <o:lock v:ext="edit" aspectratio="f"/>
                    </v:line>
                  </w:pict>
                </mc:Fallback>
              </mc:AlternateContent>
            </w:r>
            <w:r>
              <w:rPr>
                <w:color w:val="000000"/>
                <w:sz w:val="21"/>
              </w:rPr>
              <mc:AlternateContent>
                <mc:Choice Requires="wps">
                  <w:drawing>
                    <wp:anchor distT="0" distB="0" distL="114300" distR="114300" simplePos="0" relativeHeight="251716608" behindDoc="0" locked="0" layoutInCell="1" allowOverlap="1">
                      <wp:simplePos x="0" y="0"/>
                      <wp:positionH relativeFrom="column">
                        <wp:posOffset>-146050</wp:posOffset>
                      </wp:positionH>
                      <wp:positionV relativeFrom="paragraph">
                        <wp:posOffset>127635</wp:posOffset>
                      </wp:positionV>
                      <wp:extent cx="5638800" cy="6985"/>
                      <wp:effectExtent l="0" t="0" r="0" b="0"/>
                      <wp:wrapNone/>
                      <wp:docPr id="2" name="任意多边形 2"/>
                      <wp:cNvGraphicFramePr/>
                      <a:graphic xmlns:a="http://schemas.openxmlformats.org/drawingml/2006/main">
                        <a:graphicData uri="http://schemas.microsoft.com/office/word/2010/wordprocessingShape">
                          <wps:wsp>
                            <wps:cNvSpPr/>
                            <wps:spPr>
                              <a:xfrm>
                                <a:off x="0" y="0"/>
                                <a:ext cx="5638800" cy="6985"/>
                              </a:xfrm>
                              <a:custGeom>
                                <a:avLst/>
                                <a:gdLst/>
                                <a:ahLst/>
                                <a:cxnLst/>
                                <a:pathLst>
                                  <a:path w="8880" h="11">
                                    <a:moveTo>
                                      <a:pt x="0" y="11"/>
                                    </a:moveTo>
                                    <a:lnTo>
                                      <a:pt x="8880" y="0"/>
                                    </a:lnTo>
                                  </a:path>
                                </a:pathLst>
                              </a:custGeom>
                              <a:noFill/>
                              <a:ln w="9525">
                                <a:noFill/>
                              </a:ln>
                            </wps:spPr>
                            <wps:bodyPr upright="1"/>
                          </wps:wsp>
                        </a:graphicData>
                      </a:graphic>
                    </wp:anchor>
                  </w:drawing>
                </mc:Choice>
                <mc:Fallback>
                  <w:pict>
                    <v:shape id="_x0000_s1026" o:spid="_x0000_s1026" o:spt="100" style="position:absolute;left:0pt;margin-left:-11.5pt;margin-top:10.05pt;height:0.55pt;width:444pt;z-index:251716608;mso-width-relative:page;mso-height-relative:page;" filled="f" stroked="f" coordsize="8880,11" o:gfxdata="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aRtdYAAAAJAQAADwAAAAAAAAABACAAAAAiAAAAZHJzL2Rv&#10;d25yZXYueG1sUEsBAhQAFAAAAAgAh07iQDATLgPKAQAAkwMAAA4AAAAAAAAAAQAgAAAAJQEAAGRy&#10;cy9lMm9Eb2MueG1sUEsFBgAAAAAGAAYAWQEAAGEFAAAAAA==&#10;" path="m0,11hal8880,0hae">
                      <v:path/>
                      <v:fill on="f" focussize="0,0"/>
                      <v:stroke on="f"/>
                      <v:imagedata o:title=""/>
                      <o:lock v:ext="edit" aspectratio="f"/>
                    </v:shape>
                  </w:pict>
                </mc:Fallback>
              </mc:AlternateContent>
            </w:r>
            <w:r>
              <w:rPr>
                <w:rFonts w:hint="eastAsia"/>
                <w:color w:val="000000"/>
                <w:sz w:val="21"/>
                <w:lang w:eastAsia="zh-CN"/>
              </w:rPr>
              <w:t>————————————————————————————————————————</w:t>
            </w:r>
          </w:p>
          <w:p>
            <w:pPr>
              <w:jc w:val="left"/>
              <w:rPr>
                <w:rFonts w:hint="eastAsia" w:ascii="宋体" w:hAnsi="宋体"/>
                <w:b/>
                <w:bCs w:val="0"/>
                <w:color w:val="000000"/>
                <w:szCs w:val="21"/>
              </w:rPr>
            </w:pPr>
            <w:r>
              <w:rPr>
                <w:rFonts w:hint="eastAsia" w:ascii="宋体" w:hAnsi="宋体"/>
                <w:b/>
                <w:bCs w:val="0"/>
                <w:color w:val="000000"/>
                <w:szCs w:val="21"/>
              </w:rPr>
              <w:t>6-2 教学内容的组织与安排</w:t>
            </w:r>
          </w:p>
          <w:p>
            <w:pPr>
              <w:spacing w:line="440" w:lineRule="exact"/>
              <w:ind w:firstLine="422" w:firstLineChars="200"/>
              <w:jc w:val="left"/>
              <w:rPr>
                <w:rFonts w:hint="eastAsia" w:ascii="宋体" w:hAnsi="宋体"/>
                <w:b/>
                <w:color w:val="000000"/>
                <w:szCs w:val="21"/>
              </w:rPr>
            </w:pPr>
            <w:r>
              <w:rPr>
                <w:rFonts w:hint="eastAsia" w:ascii="宋体" w:hAnsi="宋体"/>
                <w:b/>
                <w:color w:val="000000"/>
                <w:szCs w:val="21"/>
              </w:rPr>
              <w:t>1.以知识认知和能力提高规律设计课程结构</w:t>
            </w:r>
          </w:p>
          <w:p>
            <w:pPr>
              <w:spacing w:line="440" w:lineRule="exact"/>
              <w:ind w:firstLine="420"/>
              <w:jc w:val="left"/>
              <w:rPr>
                <w:rFonts w:hint="eastAsia" w:ascii="宋体" w:hAnsi="宋体"/>
                <w:color w:val="000000"/>
                <w:szCs w:val="21"/>
              </w:rPr>
            </w:pPr>
            <w:r>
              <w:rPr>
                <w:rFonts w:hint="eastAsia" w:ascii="宋体" w:hAnsi="宋体"/>
                <w:color w:val="000000"/>
                <w:szCs w:val="21"/>
              </w:rPr>
              <w:t>依据本课程能力培养目标，遵循知识认知规律：由简单→复杂、易→难，对课程的内容进行重新编排。根据职业成长规律，循序渐进增加工作任务难度，反复训练。提高学生能力、根据知识结构的特点结合知识的认知规律将课程结构按照知识模块调整为：</w:t>
            </w:r>
          </w:p>
          <w:p>
            <w:pPr>
              <w:spacing w:line="440" w:lineRule="exact"/>
              <w:ind w:firstLine="420" w:firstLineChars="200"/>
              <w:rPr>
                <w:rFonts w:hint="eastAsia" w:ascii="宋体" w:hAnsi="宋体"/>
                <w:color w:val="000000"/>
                <w:szCs w:val="21"/>
              </w:rPr>
            </w:pPr>
            <w:r>
              <w:rPr>
                <w:rFonts w:hint="eastAsia" w:ascii="宋体" w:hAnsi="宋体" w:cs="宋体"/>
                <w:color w:val="000000"/>
                <w:kern w:val="0"/>
                <w:szCs w:val="21"/>
                <w:lang w:val="zh-CN"/>
              </w:rPr>
              <w:t>模块1到模块</w:t>
            </w:r>
            <w:r>
              <w:rPr>
                <w:rFonts w:hint="eastAsia" w:ascii="宋体" w:hAnsi="宋体" w:cs="宋体"/>
                <w:color w:val="000000"/>
                <w:kern w:val="0"/>
                <w:szCs w:val="21"/>
                <w:lang w:val="en-US" w:eastAsia="zh-CN"/>
              </w:rPr>
              <w:t>10</w:t>
            </w:r>
            <w:r>
              <w:rPr>
                <w:rFonts w:hint="eastAsia" w:ascii="宋体" w:hAnsi="宋体"/>
                <w:color w:val="000000"/>
                <w:szCs w:val="21"/>
              </w:rPr>
              <w:t>由简到难，循序渐进，让学生在实践过程中逐步成长，提高学生</w:t>
            </w:r>
            <w:r>
              <w:rPr>
                <w:rFonts w:hint="eastAsia" w:ascii="宋体" w:hAnsi="宋体"/>
                <w:color w:val="000000"/>
                <w:szCs w:val="21"/>
                <w:lang w:eastAsia="zh-CN"/>
              </w:rPr>
              <w:t>办文</w:t>
            </w:r>
            <w:r>
              <w:rPr>
                <w:rFonts w:hint="eastAsia" w:ascii="宋体" w:hAnsi="宋体"/>
                <w:color w:val="000000"/>
                <w:szCs w:val="21"/>
              </w:rPr>
              <w:t>能力</w:t>
            </w:r>
            <w:r>
              <w:rPr>
                <w:rFonts w:hint="eastAsia" w:ascii="宋体" w:hAnsi="宋体"/>
                <w:color w:val="000000"/>
                <w:szCs w:val="21"/>
                <w:lang w:eastAsia="zh-CN"/>
              </w:rPr>
              <w:t>、办事</w:t>
            </w:r>
            <w:r>
              <w:rPr>
                <w:rFonts w:hint="eastAsia" w:ascii="宋体" w:hAnsi="宋体"/>
                <w:color w:val="000000"/>
                <w:szCs w:val="21"/>
              </w:rPr>
              <w:t>能力</w:t>
            </w:r>
            <w:r>
              <w:rPr>
                <w:rFonts w:hint="eastAsia" w:ascii="宋体" w:hAnsi="宋体"/>
                <w:color w:val="000000"/>
                <w:szCs w:val="21"/>
                <w:lang w:eastAsia="zh-CN"/>
              </w:rPr>
              <w:t>和办会能力</w:t>
            </w:r>
            <w:r>
              <w:rPr>
                <w:rFonts w:hint="eastAsia" w:ascii="宋体" w:hAnsi="宋体"/>
                <w:color w:val="000000"/>
                <w:szCs w:val="21"/>
              </w:rPr>
              <w:t>。积累实际操作经验，培养学生理论联系实际、分析问题和解决问题的能力，为以后走上工作岗位打下良好的基础。</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2.以学生为主体进行课程教学组织设计</w:t>
            </w:r>
          </w:p>
          <w:p>
            <w:pPr>
              <w:spacing w:line="400" w:lineRule="exact"/>
              <w:ind w:firstLine="525" w:firstLineChars="250"/>
              <w:jc w:val="left"/>
              <w:rPr>
                <w:rFonts w:hint="eastAsia" w:ascii="宋体" w:hAnsi="宋体" w:cs="宋体"/>
                <w:color w:val="000000"/>
                <w:kern w:val="0"/>
                <w:szCs w:val="21"/>
                <w:lang w:val="zh-CN"/>
              </w:rPr>
            </w:pPr>
            <w:r>
              <w:rPr>
                <w:rFonts w:hint="eastAsia" w:ascii="宋体" w:hAnsi="宋体"/>
                <w:color w:val="000000"/>
                <w:szCs w:val="21"/>
              </w:rPr>
              <w:t>在教学设计及教学实施环节设计中注意“以学生为主体，教师为引导；以体验为先导、执行为目标”充分发挥学生的主观能动性及学习兴趣。本着中职学生认知能力，以理论知识够用、实用为原则，突出实际操作能力的培养。</w:t>
            </w:r>
            <w:r>
              <w:rPr>
                <w:rFonts w:hint="eastAsia" w:ascii="宋体" w:hAnsi="宋体" w:cs="宋体"/>
                <w:color w:val="000000"/>
                <w:kern w:val="0"/>
                <w:szCs w:val="21"/>
                <w:lang w:val="zh-CN"/>
              </w:rPr>
              <w:t>通过各项目的学习，以真实的</w:t>
            </w:r>
            <w:r>
              <w:rPr>
                <w:rFonts w:hint="eastAsia" w:ascii="宋体" w:hAnsi="宋体" w:cs="宋体"/>
                <w:color w:val="000000"/>
                <w:kern w:val="0"/>
                <w:szCs w:val="21"/>
                <w:lang w:val="zh-CN" w:eastAsia="zh-CN"/>
              </w:rPr>
              <w:t>工作情境</w:t>
            </w:r>
            <w:r>
              <w:rPr>
                <w:rFonts w:hint="eastAsia" w:ascii="宋体" w:hAnsi="宋体" w:cs="宋体"/>
                <w:color w:val="000000"/>
                <w:kern w:val="0"/>
                <w:szCs w:val="21"/>
                <w:lang w:val="zh-CN"/>
              </w:rPr>
              <w:t>为实训内容，培养了学生在“学与做”中分析问题、解决问题的综合实际应用能力和创新能力。</w:t>
            </w:r>
          </w:p>
          <w:p>
            <w:pPr>
              <w:spacing w:line="400" w:lineRule="exact"/>
              <w:ind w:firstLine="435"/>
              <w:rPr>
                <w:rFonts w:hint="eastAsia" w:ascii="宋体" w:hAnsi="宋体"/>
                <w:color w:val="000000"/>
                <w:szCs w:val="21"/>
              </w:rPr>
            </w:pPr>
            <w:r>
              <w:rPr>
                <w:rFonts w:hint="eastAsia" w:ascii="宋体" w:hAnsi="宋体"/>
                <w:color w:val="000000"/>
                <w:szCs w:val="21"/>
              </w:rPr>
              <w:t>实训课时，确保学生的动手能力和岗位的适应能力，根据实际需要完成真实的</w:t>
            </w:r>
            <w:r>
              <w:rPr>
                <w:rFonts w:hint="eastAsia" w:ascii="宋体" w:hAnsi="宋体"/>
                <w:color w:val="000000"/>
                <w:szCs w:val="21"/>
                <w:lang w:eastAsia="zh-CN"/>
              </w:rPr>
              <w:t>秘书工作</w:t>
            </w:r>
            <w:r>
              <w:rPr>
                <w:rFonts w:hint="eastAsia" w:ascii="宋体" w:hAnsi="宋体"/>
                <w:color w:val="000000"/>
                <w:szCs w:val="21"/>
              </w:rPr>
              <w:t>，由学生的“学</w:t>
            </w:r>
            <w:r>
              <w:rPr>
                <w:rFonts w:ascii="宋体" w:hAnsi="宋体"/>
                <w:color w:val="000000"/>
                <w:szCs w:val="21"/>
              </w:rPr>
              <w:t>”</w:t>
            </w:r>
            <w:r>
              <w:rPr>
                <w:rFonts w:hint="eastAsia" w:ascii="宋体" w:hAnsi="宋体"/>
                <w:color w:val="000000"/>
                <w:szCs w:val="21"/>
              </w:rPr>
              <w:t>为主导，教师的“教</w:t>
            </w:r>
            <w:r>
              <w:rPr>
                <w:rFonts w:ascii="宋体" w:hAnsi="宋体"/>
                <w:color w:val="000000"/>
                <w:szCs w:val="21"/>
              </w:rPr>
              <w:t>”</w:t>
            </w:r>
            <w:r>
              <w:rPr>
                <w:rFonts w:hint="eastAsia" w:ascii="宋体" w:hAnsi="宋体"/>
                <w:color w:val="000000"/>
                <w:szCs w:val="21"/>
              </w:rPr>
              <w:t>为辅助和指导来完成。在项目提出阶段，教师引导，学生自主组织所需资料文件和信息，为项目分析做准备；在项目分析阶段，学生分组讨论，教师引导、答疑；在项目制造方案确定阶段，学生以小组为单位进行讨论，教师组织和引导，学生自行确定实施方案；在项目实施阶段，学生小组内自行分工，并进行阶段性自查和修正，教师答疑和监督；在项目检查阶段，学生将阶段性检查结果及最终质量上报，学生进行小组内及小组间互评，教师进行组织及点评；在项目总结反馈阶段，学生以小组为单位自述本项目学习、实施过程总结并汇总资料，教师点评及对本教学单元进行总结。</w:t>
            </w:r>
          </w:p>
          <w:p>
            <w:pPr>
              <w:spacing w:line="400" w:lineRule="exact"/>
              <w:ind w:firstLine="435"/>
              <w:rPr>
                <w:rFonts w:hint="eastAsia"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、合理利用教学资源，使教学内容得到及时有效的应用</w:t>
            </w:r>
          </w:p>
          <w:p>
            <w:pPr>
              <w:spacing w:line="400" w:lineRule="exact"/>
              <w:ind w:firstLine="525" w:firstLineChars="250"/>
              <w:jc w:val="left"/>
              <w:rPr>
                <w:rFonts w:hint="eastAsia" w:ascii="宋体" w:hAnsi="宋体" w:cs="宋体"/>
                <w:color w:val="000000"/>
                <w:kern w:val="0"/>
                <w:szCs w:val="21"/>
                <w:lang w:val="zh-CN"/>
              </w:rPr>
            </w:pPr>
            <w:r>
              <w:rPr>
                <w:rFonts w:hint="eastAsia" w:ascii="宋体" w:hAnsi="宋体" w:cs="宋体"/>
                <w:color w:val="000000"/>
                <w:kern w:val="0"/>
                <w:szCs w:val="21"/>
                <w:lang w:val="zh-CN"/>
              </w:rPr>
              <w:t>在第三、四学期根据教学内容安排，与</w:t>
            </w:r>
            <w:r>
              <w:rPr>
                <w:rFonts w:hint="eastAsia" w:ascii="宋体" w:hAnsi="宋体" w:cs="宋体"/>
                <w:color w:val="000000"/>
                <w:kern w:val="0"/>
                <w:szCs w:val="21"/>
                <w:lang w:val="zh-CN" w:eastAsia="zh-CN"/>
              </w:rPr>
              <w:t>中国红星宣纸集团公司</w:t>
            </w:r>
            <w:r>
              <w:rPr>
                <w:rFonts w:hint="eastAsia" w:ascii="宋体" w:hAnsi="宋体" w:cs="宋体"/>
                <w:color w:val="000000"/>
                <w:kern w:val="0"/>
                <w:szCs w:val="21"/>
                <w:lang w:val="zh-CN"/>
              </w:rPr>
              <w:t>、</w:t>
            </w:r>
            <w:r>
              <w:rPr>
                <w:rFonts w:hint="eastAsia" w:ascii="宋体" w:hAnsi="宋体" w:cs="宋体"/>
                <w:color w:val="000000"/>
                <w:kern w:val="0"/>
                <w:szCs w:val="21"/>
                <w:lang w:val="zh-CN" w:eastAsia="zh-CN"/>
              </w:rPr>
              <w:t>皖南电机</w:t>
            </w:r>
            <w:r>
              <w:rPr>
                <w:rFonts w:hint="eastAsia" w:ascii="宋体" w:hAnsi="宋体" w:cs="宋体"/>
                <w:color w:val="000000"/>
                <w:kern w:val="0"/>
                <w:szCs w:val="21"/>
                <w:lang w:val="zh-CN"/>
              </w:rPr>
              <w:t>企业、</w:t>
            </w:r>
            <w:r>
              <w:rPr>
                <w:rFonts w:hint="eastAsia" w:ascii="宋体" w:hAnsi="宋体" w:cs="宋体"/>
                <w:color w:val="000000"/>
                <w:kern w:val="0"/>
                <w:szCs w:val="21"/>
                <w:lang w:val="zh-CN" w:eastAsia="zh-CN"/>
              </w:rPr>
              <w:t>县政府办</w:t>
            </w:r>
            <w:r>
              <w:rPr>
                <w:rFonts w:hint="eastAsia" w:ascii="宋体" w:hAnsi="宋体" w:cs="宋体"/>
                <w:color w:val="000000"/>
                <w:kern w:val="0"/>
                <w:szCs w:val="21"/>
                <w:lang w:val="zh-CN"/>
              </w:rPr>
              <w:t>、</w:t>
            </w:r>
            <w:r>
              <w:rPr>
                <w:rFonts w:hint="eastAsia" w:ascii="宋体" w:hAnsi="宋体" w:cs="宋体"/>
                <w:color w:val="000000"/>
                <w:kern w:val="0"/>
                <w:szCs w:val="21"/>
                <w:lang w:val="zh-CN" w:eastAsia="zh-CN"/>
              </w:rPr>
              <w:t>红星国际大酒店等</w:t>
            </w:r>
            <w:r>
              <w:rPr>
                <w:rFonts w:hint="eastAsia" w:ascii="宋体" w:hAnsi="宋体" w:cs="宋体"/>
                <w:color w:val="000000"/>
                <w:kern w:val="0"/>
                <w:szCs w:val="21"/>
                <w:lang w:val="zh-CN"/>
              </w:rPr>
              <w:t>企业进行工学交替。第五、第六学期采取到企业进行顶岗实习的方式，使学生在企业化生产实践中将所学的知识得到更好的实践、应用，并及时吸纳新知识、新</w:t>
            </w:r>
            <w:r>
              <w:rPr>
                <w:rFonts w:hint="eastAsia" w:ascii="宋体" w:hAnsi="宋体" w:cs="宋体"/>
                <w:color w:val="000000"/>
                <w:kern w:val="0"/>
                <w:szCs w:val="21"/>
                <w:lang w:val="zh-CN" w:eastAsia="zh-CN"/>
              </w:rPr>
              <w:t>技能</w:t>
            </w:r>
            <w:r>
              <w:rPr>
                <w:rFonts w:hint="eastAsia" w:ascii="宋体" w:hAnsi="宋体" w:cs="宋体"/>
                <w:color w:val="000000"/>
                <w:kern w:val="0"/>
                <w:szCs w:val="21"/>
                <w:lang w:val="zh-CN"/>
              </w:rPr>
              <w:t>。</w:t>
            </w:r>
          </w:p>
          <w:p>
            <w:pPr>
              <w:jc w:val="left"/>
              <w:rPr>
                <w:rFonts w:hint="eastAsia" w:ascii="宋体" w:hAnsi="宋体"/>
                <w:b/>
                <w:color w:val="000000"/>
                <w:szCs w:val="21"/>
              </w:rPr>
            </w:pPr>
          </w:p>
          <w:p>
            <w:pPr>
              <w:jc w:val="left"/>
              <w:rPr>
                <w:rFonts w:hint="eastAsia" w:ascii="宋体" w:hAnsi="宋体"/>
                <w:b/>
                <w:color w:val="000000"/>
                <w:szCs w:val="21"/>
              </w:rPr>
            </w:pPr>
          </w:p>
          <w:p>
            <w:pPr>
              <w:jc w:val="left"/>
              <w:rPr>
                <w:rFonts w:hint="eastAsia" w:ascii="宋体" w:hAnsi="宋体"/>
                <w:b/>
                <w:color w:val="000000"/>
                <w:szCs w:val="21"/>
              </w:rPr>
            </w:pPr>
          </w:p>
          <w:p>
            <w:pPr>
              <w:jc w:val="left"/>
              <w:rPr>
                <w:rFonts w:hint="eastAsia" w:ascii="宋体" w:hAnsi="宋体"/>
                <w:b/>
                <w:color w:val="000000"/>
                <w:szCs w:val="21"/>
              </w:rPr>
            </w:pPr>
          </w:p>
          <w:p>
            <w:pPr>
              <w:jc w:val="left"/>
              <w:rPr>
                <w:rFonts w:hint="eastAsia" w:ascii="宋体" w:hAnsi="宋体"/>
                <w:b/>
                <w:bCs w:val="0"/>
                <w:color w:val="000000"/>
                <w:szCs w:val="21"/>
              </w:rPr>
            </w:pPr>
            <w:r>
              <w:rPr>
                <w:rFonts w:hint="eastAsia" w:ascii="宋体" w:hAnsi="宋体"/>
                <w:b/>
                <w:bCs w:val="0"/>
                <w:color w:val="000000"/>
                <w:szCs w:val="21"/>
              </w:rPr>
              <w:t>6-3 教学内容的具体表现形式</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1．教材选用</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本课程选用的教材是</w:t>
            </w:r>
            <w:r>
              <w:rPr>
                <w:rFonts w:hint="eastAsia" w:ascii="宋体" w:hAnsi="宋体" w:cs="宋体"/>
                <w:color w:val="000000"/>
                <w:kern w:val="0"/>
                <w:szCs w:val="21"/>
                <w:lang w:val="zh-CN" w:eastAsia="zh-CN"/>
              </w:rPr>
              <w:t>高等</w:t>
            </w:r>
            <w:r>
              <w:rPr>
                <w:rFonts w:hint="eastAsia" w:ascii="宋体" w:hAnsi="宋体" w:cs="宋体"/>
                <w:color w:val="000000"/>
                <w:kern w:val="0"/>
                <w:szCs w:val="21"/>
                <w:lang w:val="zh-CN"/>
              </w:rPr>
              <w:t>教育出版社出版的《秘书基础》，并根据专业培养方案和现场教学需要进行增减。</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2．教学参考资料</w:t>
            </w:r>
          </w:p>
          <w:p>
            <w:pPr>
              <w:widowControl/>
              <w:spacing w:line="480" w:lineRule="exact"/>
              <w:jc w:val="left"/>
              <w:rPr>
                <w:rFonts w:ascii="宋体" w:hAnsi="宋体" w:cs="宋体"/>
                <w:color w:val="000000"/>
                <w:kern w:val="0"/>
                <w:szCs w:val="21"/>
                <w:lang w:val="zh-CN"/>
              </w:rPr>
            </w:pPr>
            <w:r>
              <w:rPr>
                <w:rFonts w:ascii="Arial" w:hAnsi="Arial" w:cs="Arial"/>
                <w:color w:val="000000"/>
                <w:kern w:val="0"/>
                <w:szCs w:val="21"/>
              </w:rPr>
              <w:t>《</w:t>
            </w:r>
            <w:r>
              <w:rPr>
                <w:rFonts w:hint="eastAsia" w:ascii="Arial" w:hAnsi="Arial" w:cs="Arial"/>
                <w:color w:val="000000"/>
                <w:kern w:val="0"/>
                <w:szCs w:val="21"/>
                <w:lang w:eastAsia="zh-CN"/>
              </w:rPr>
              <w:t>秘书基础</w:t>
            </w:r>
            <w:r>
              <w:rPr>
                <w:rFonts w:ascii="宋体" w:hAnsi="宋体" w:cs="宋体"/>
                <w:color w:val="000000"/>
                <w:kern w:val="0"/>
                <w:szCs w:val="21"/>
                <w:lang w:val="zh-CN"/>
              </w:rPr>
              <w:t>》</w:t>
            </w:r>
            <w:r>
              <w:rPr>
                <w:rFonts w:hint="eastAsia" w:ascii="宋体" w:hAnsi="宋体" w:cs="宋体"/>
                <w:color w:val="000000"/>
                <w:kern w:val="0"/>
                <w:szCs w:val="21"/>
                <w:lang w:val="zh-CN"/>
              </w:rPr>
              <w:t>、</w:t>
            </w:r>
            <w:r>
              <w:rPr>
                <w:rFonts w:ascii="宋体" w:hAnsi="宋体" w:cs="宋体"/>
                <w:color w:val="000000"/>
                <w:kern w:val="0"/>
                <w:szCs w:val="21"/>
                <w:lang w:val="zh-CN"/>
              </w:rPr>
              <w:t>《</w:t>
            </w:r>
            <w:r>
              <w:rPr>
                <w:rFonts w:hint="eastAsia" w:ascii="宋体" w:hAnsi="宋体" w:cs="宋体"/>
                <w:color w:val="000000"/>
                <w:kern w:val="0"/>
                <w:szCs w:val="21"/>
                <w:lang w:val="zh-CN"/>
              </w:rPr>
              <w:t>秘书基础练习册</w:t>
            </w:r>
            <w:r>
              <w:rPr>
                <w:rFonts w:ascii="宋体" w:hAnsi="宋体" w:cs="宋体"/>
                <w:color w:val="000000"/>
                <w:kern w:val="0"/>
                <w:szCs w:val="21"/>
                <w:lang w:val="zh-CN"/>
              </w:rPr>
              <w:t>》</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3．教学课件</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学校将开发教学课件</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4．教学管理制度</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严格的教学管理制度是保障课程顺利实施的关键，为此学校和教研组制定了严格的教学管理制度，具体如下：</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（1</w:t>
            </w:r>
            <w:r>
              <w:rPr>
                <w:rFonts w:ascii="宋体" w:hAnsi="宋体" w:cs="宋体"/>
                <w:color w:val="000000"/>
                <w:kern w:val="0"/>
                <w:szCs w:val="21"/>
                <w:lang w:val="zh-CN"/>
              </w:rPr>
              <w:t>）教师听课制度</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①</w:t>
            </w:r>
            <w:r>
              <w:rPr>
                <w:rFonts w:ascii="宋体" w:hAnsi="宋体" w:cs="宋体"/>
                <w:color w:val="000000"/>
                <w:kern w:val="0"/>
                <w:szCs w:val="21"/>
                <w:lang w:val="zh-CN"/>
              </w:rPr>
              <w:t>对于新教师</w:t>
            </w:r>
            <w:r>
              <w:rPr>
                <w:rFonts w:hint="eastAsia" w:ascii="宋体" w:hAnsi="宋体" w:cs="宋体"/>
                <w:color w:val="000000"/>
                <w:kern w:val="0"/>
                <w:szCs w:val="21"/>
                <w:lang w:val="zh-CN"/>
              </w:rPr>
              <w:t>，培养期间必须按要求听课。</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②</w:t>
            </w:r>
            <w:r>
              <w:rPr>
                <w:rFonts w:ascii="宋体" w:hAnsi="宋体" w:cs="宋体"/>
                <w:color w:val="000000"/>
                <w:kern w:val="0"/>
                <w:szCs w:val="21"/>
                <w:lang w:val="zh-CN"/>
              </w:rPr>
              <w:t>教师每</w:t>
            </w:r>
            <w:r>
              <w:rPr>
                <w:rFonts w:hint="eastAsia" w:ascii="宋体" w:hAnsi="宋体" w:cs="宋体"/>
                <w:color w:val="000000"/>
                <w:kern w:val="0"/>
                <w:szCs w:val="21"/>
                <w:lang w:val="zh-CN"/>
              </w:rPr>
              <w:t>月</w:t>
            </w:r>
            <w:r>
              <w:rPr>
                <w:rFonts w:ascii="宋体" w:hAnsi="宋体" w:cs="宋体"/>
                <w:color w:val="000000"/>
                <w:kern w:val="0"/>
                <w:szCs w:val="21"/>
                <w:lang w:val="zh-CN"/>
              </w:rPr>
              <w:t>至少听课</w:t>
            </w:r>
            <w:r>
              <w:rPr>
                <w:rFonts w:hint="eastAsia" w:ascii="宋体" w:hAnsi="宋体" w:cs="宋体"/>
                <w:color w:val="000000"/>
                <w:kern w:val="0"/>
                <w:szCs w:val="21"/>
                <w:lang w:val="zh-CN"/>
              </w:rPr>
              <w:t>3</w:t>
            </w:r>
            <w:r>
              <w:rPr>
                <w:rFonts w:ascii="宋体" w:hAnsi="宋体" w:cs="宋体"/>
                <w:color w:val="000000"/>
                <w:kern w:val="0"/>
                <w:szCs w:val="21"/>
                <w:lang w:val="zh-CN"/>
              </w:rPr>
              <w:t>次以上。</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③</w:t>
            </w:r>
            <w:r>
              <w:rPr>
                <w:rFonts w:ascii="宋体" w:hAnsi="宋体" w:cs="宋体"/>
                <w:color w:val="000000"/>
                <w:kern w:val="0"/>
                <w:szCs w:val="21"/>
                <w:lang w:val="zh-CN"/>
              </w:rPr>
              <w:t>每次听课都要填写统一的听课记录表，学期结束前将听课记录表归档保存。</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w:t>
            </w:r>
            <w:r>
              <w:rPr>
                <w:rFonts w:ascii="宋体" w:hAnsi="宋体" w:cs="宋体"/>
                <w:color w:val="000000"/>
                <w:kern w:val="0"/>
                <w:szCs w:val="21"/>
                <w:lang w:val="zh-CN"/>
              </w:rPr>
              <w:t>试讲制度</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①</w:t>
            </w:r>
            <w:r>
              <w:rPr>
                <w:rFonts w:ascii="宋体" w:hAnsi="宋体" w:cs="宋体"/>
                <w:color w:val="000000"/>
                <w:kern w:val="0"/>
                <w:szCs w:val="21"/>
                <w:lang w:val="zh-CN"/>
              </w:rPr>
              <w:t>青年教师第一次上课前需进行试讲。</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②</w:t>
            </w:r>
            <w:r>
              <w:rPr>
                <w:rFonts w:ascii="宋体" w:hAnsi="宋体" w:cs="宋体"/>
                <w:color w:val="000000"/>
                <w:kern w:val="0"/>
                <w:szCs w:val="21"/>
                <w:lang w:val="zh-CN"/>
              </w:rPr>
              <w:t>新调入人员为在上课前需试讲一次</w:t>
            </w:r>
            <w:r>
              <w:rPr>
                <w:rFonts w:hint="eastAsia" w:ascii="宋体" w:hAnsi="宋体" w:cs="宋体"/>
                <w:color w:val="000000"/>
                <w:kern w:val="0"/>
                <w:szCs w:val="21"/>
                <w:lang w:val="zh-CN"/>
              </w:rPr>
              <w:t>。</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③</w:t>
            </w:r>
            <w:r>
              <w:rPr>
                <w:rFonts w:ascii="宋体" w:hAnsi="宋体" w:cs="宋体"/>
                <w:color w:val="000000"/>
                <w:kern w:val="0"/>
                <w:szCs w:val="21"/>
                <w:lang w:val="zh-CN"/>
              </w:rPr>
              <w:t>试讲结束，由</w:t>
            </w:r>
            <w:r>
              <w:rPr>
                <w:rFonts w:hint="eastAsia" w:ascii="宋体" w:hAnsi="宋体" w:cs="宋体"/>
                <w:color w:val="000000"/>
                <w:kern w:val="0"/>
                <w:szCs w:val="21"/>
                <w:lang w:val="zh-CN"/>
              </w:rPr>
              <w:t>科</w:t>
            </w:r>
            <w:r>
              <w:rPr>
                <w:rFonts w:ascii="宋体" w:hAnsi="宋体" w:cs="宋体"/>
                <w:color w:val="000000"/>
                <w:kern w:val="0"/>
                <w:szCs w:val="21"/>
                <w:lang w:val="zh-CN"/>
              </w:rPr>
              <w:t>室负责人、本教学组教师集体讨论，作出是否同意授课的意见。</w:t>
            </w:r>
          </w:p>
          <w:p>
            <w:pPr>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（3）</w:t>
            </w:r>
            <w:r>
              <w:rPr>
                <w:rFonts w:ascii="宋体" w:hAnsi="宋体" w:cs="宋体"/>
                <w:color w:val="000000"/>
                <w:kern w:val="0"/>
                <w:szCs w:val="21"/>
                <w:lang w:val="zh-CN"/>
              </w:rPr>
              <w:t>教学规范</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①</w:t>
            </w:r>
            <w:r>
              <w:rPr>
                <w:rFonts w:ascii="宋体" w:hAnsi="宋体" w:cs="宋体"/>
                <w:color w:val="000000"/>
                <w:kern w:val="0"/>
                <w:szCs w:val="21"/>
                <w:lang w:val="zh-CN"/>
              </w:rPr>
              <w:t>仪表端庄，精神饱满，举止文明、大方。</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②</w:t>
            </w:r>
            <w:r>
              <w:rPr>
                <w:rFonts w:ascii="宋体" w:hAnsi="宋体" w:cs="宋体"/>
                <w:color w:val="000000"/>
                <w:kern w:val="0"/>
                <w:szCs w:val="21"/>
                <w:lang w:val="zh-CN"/>
              </w:rPr>
              <w:t>教师课前认真备课</w:t>
            </w:r>
            <w:r>
              <w:rPr>
                <w:rFonts w:hint="eastAsia" w:ascii="宋体" w:hAnsi="宋体" w:cs="宋体"/>
                <w:color w:val="000000"/>
                <w:kern w:val="0"/>
                <w:szCs w:val="21"/>
                <w:lang w:val="zh-CN"/>
              </w:rPr>
              <w:t>。</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③</w:t>
            </w:r>
            <w:r>
              <w:rPr>
                <w:rFonts w:ascii="宋体" w:hAnsi="宋体" w:cs="宋体"/>
                <w:color w:val="000000"/>
                <w:kern w:val="0"/>
                <w:szCs w:val="21"/>
                <w:lang w:val="zh-CN"/>
              </w:rPr>
              <w:t>加强互动教学，教师要细心指导，耐心解答，解决学生在实验中遇到的困难和问题。</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④</w:t>
            </w:r>
            <w:r>
              <w:rPr>
                <w:rFonts w:ascii="宋体" w:hAnsi="宋体" w:cs="宋体"/>
                <w:color w:val="000000"/>
                <w:kern w:val="0"/>
                <w:szCs w:val="21"/>
                <w:lang w:val="zh-CN"/>
              </w:rPr>
              <w:t>经常倾听学生对教学的反映和意见，及时总结并予改进。</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eastAsia="宋体" w:cs="宋体"/>
                <w:color w:val="000000"/>
                <w:kern w:val="0"/>
                <w:szCs w:val="21"/>
                <w:lang w:val="zh-CN"/>
              </w:rPr>
              <w:t>⑤</w:t>
            </w:r>
            <w:r>
              <w:rPr>
                <w:rFonts w:ascii="宋体" w:hAnsi="宋体" w:cs="宋体"/>
                <w:color w:val="000000"/>
                <w:kern w:val="0"/>
                <w:szCs w:val="21"/>
                <w:lang w:val="zh-CN"/>
              </w:rPr>
              <w:t>不擅自调课、缺课，上课不迟到早退</w:t>
            </w:r>
            <w:r>
              <w:rPr>
                <w:rFonts w:hint="eastAsia" w:ascii="宋体" w:hAnsi="宋体" w:cs="宋体"/>
                <w:color w:val="000000"/>
                <w:kern w:val="0"/>
                <w:szCs w:val="21"/>
                <w:lang w:val="zh-CN"/>
              </w:rPr>
              <w:t>。</w:t>
            </w:r>
          </w:p>
          <w:p>
            <w:pPr>
              <w:spacing w:line="48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5．考试制度</w:t>
            </w:r>
          </w:p>
          <w:p>
            <w:pPr>
              <w:spacing w:line="400" w:lineRule="exact"/>
              <w:ind w:firstLine="420" w:firstLineChars="200"/>
              <w:rPr>
                <w:rFonts w:hint="eastAsia" w:ascii="宋体" w:hAnsi="宋体"/>
                <w:color w:val="000000"/>
                <w:szCs w:val="21"/>
              </w:rPr>
            </w:pPr>
            <w:r>
              <w:rPr>
                <w:rFonts w:ascii="宋体" w:hAnsi="宋体" w:cs="宋体"/>
                <w:color w:val="000000"/>
                <w:kern w:val="0"/>
                <w:szCs w:val="21"/>
                <w:lang w:val="zh-CN"/>
              </w:rPr>
              <w:t>考试考查是教学工作中十分重要的环节之一，科学有效地进行考核，既能对每位学生的学习做出较为全面客观的评价，也能检验教师的教学效果，以利于改进教学工作，不断提高教学质量。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26E41"/>
    <w:rsid w:val="03C26E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2018-10-24T01:00:00Z</dcterms:created>
  <dc:creator>我爱咖啡</dc:creator>
  <cp:lastModifiedBy>我爱咖啡</cp:lastModifiedBy>
  <dcterms:modified xsi:type="dcterms:W3CDTF">2018-10-24T01:01:29Z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