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both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after="150"/>
        <w:ind w:firstLine="480"/>
        <w:jc w:val="center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28"/>
          <w:szCs w:val="28"/>
        </w:rPr>
        <w:t>第二节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 秘书人员的知识结构和能力要求</w:t>
      </w:r>
    </w:p>
    <w:bookmarkEnd w:id="0"/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明确秘书人员的</w:t>
      </w:r>
      <w:r>
        <w:rPr>
          <w:rFonts w:hint="eastAsia" w:ascii="宋体" w:hAnsi="宋体" w:cs="Arial"/>
          <w:color w:val="000000"/>
          <w:kern w:val="0"/>
          <w:szCs w:val="21"/>
          <w:lang w:eastAsia="zh-CN"/>
        </w:rPr>
        <w:t>知识结构和能力要求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能力目标：</w:t>
      </w:r>
      <w:r>
        <w:rPr>
          <w:rFonts w:hint="eastAsia" w:ascii="宋体" w:hAnsi="宋体" w:cs="Arial"/>
          <w:kern w:val="0"/>
          <w:szCs w:val="21"/>
          <w:lang w:eastAsia="zh-CN"/>
        </w:rPr>
        <w:t>培养提升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秘书人员的</w:t>
      </w:r>
      <w:r>
        <w:rPr>
          <w:rFonts w:hint="eastAsia" w:ascii="宋体" w:hAnsi="宋体" w:cs="Arial"/>
          <w:color w:val="000000"/>
          <w:kern w:val="0"/>
          <w:szCs w:val="21"/>
          <w:lang w:eastAsia="zh-CN"/>
        </w:rPr>
        <w:t>知识结构和能力要求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理解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秘书人员的</w:t>
      </w:r>
      <w:r>
        <w:rPr>
          <w:rFonts w:hint="eastAsia" w:ascii="宋体" w:hAnsi="宋体" w:cs="Arial"/>
          <w:color w:val="000000"/>
          <w:kern w:val="0"/>
          <w:szCs w:val="21"/>
          <w:lang w:eastAsia="zh-CN"/>
        </w:rPr>
        <w:t>知识结构和能力要求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 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Arial"/>
          <w:kern w:val="0"/>
          <w:szCs w:val="21"/>
          <w:lang w:eastAsia="zh-Hans"/>
        </w:rPr>
        <w:t>课时。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教学过程：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秘书工作的特殊性，决定了秘书人员的</w:t>
      </w:r>
      <w:r>
        <w:rPr>
          <w:rFonts w:hint="eastAsia" w:ascii="宋体" w:hAnsi="宋体" w:cs="Arial"/>
          <w:color w:val="000000"/>
          <w:kern w:val="0"/>
          <w:szCs w:val="21"/>
          <w:lang w:eastAsia="zh-CN"/>
        </w:rPr>
        <w:t>知识结构和能力要求</w:t>
      </w:r>
      <w:r>
        <w:rPr>
          <w:rFonts w:hint="eastAsia" w:ascii="宋体" w:hAnsi="宋体" w:cs="Arial"/>
          <w:kern w:val="0"/>
          <w:szCs w:val="21"/>
          <w:lang w:eastAsia="zh-CN"/>
        </w:rPr>
        <w:t>应达到一定的高度，才能胜任好这一工作。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688" w:firstLineChars="328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一、回顾：秘书人员的素养要求</w:t>
      </w:r>
    </w:p>
    <w:p>
      <w:pPr>
        <w:widowControl/>
        <w:spacing w:after="150"/>
        <w:ind w:firstLine="630" w:firstLineChars="30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二、讲授：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（一）知识结构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1、基础知识：是秘书知识结构中的基础部分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（1）政治哲学类：树立正确的世界观、价值观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（2）语言文学类：培养语言表达和写作能力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（3）数学统计类：培养分析、统计能力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（4）历史地理类：拓宽知识广度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（5）法律知识类：培养知法、守法、用法的能力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案例与练习：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毛主席教导我们要解放思想，实事求是……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对于朋友，战国时期老子就说过一句话：有朋自远方来，不亦乐乎！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造句：难过        况且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2、专业知识：是秘书知识结构中的核心部分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（1）秘书学知识：秘书理论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（2）秘书写作知识：公文写作能力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（3）文书档案知识：档案登记、整理、分析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（4）会务接待知识：会议组织、人际交往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（5）信息技术知识：现代化办公设备的使用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3、辅助知识：不可缺少的组成部分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（1）管理知识：提高管理水平，辅佐领导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（2）外语知识：外事交往能力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（3）地方志知识：丰富知识面、熟悉情况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 （4）导游礼宾知识：交际、接待能力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思考练习：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中共中央政治局常委有几人？分别是谁？出席全国人民代表大会，在主席台上怎样就座？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周永康 李克强 李长春 温家宝 胡锦涛 吴邦国 贾庆林 习近平 贺国强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（二）能力要求：从事秘书工作不可缺少的本领和才干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1、表达能力：口头表达、书面表达、肢体表达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2、办事能力：能想事，会办事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3、管理能力：辅导决策、计划、沟通、协调、控制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4、应变能力：观察、判断、决策、预见、变通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5、社交能力：自知、尊重、信任、礼节、理智、融合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6、操作能力：办公软件、办公设备、书写、整理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（三）知识和能力的培养方法：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1、勤奋学习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2、强化训练：学校训练    岗位训练    自我训练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 名言警句：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1、学无止境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 xml:space="preserve">   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2、活到老，学到老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 xml:space="preserve">    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3、业精于勤荒于嬉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 xml:space="preserve">    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4、熟能生巧</w:t>
      </w:r>
    </w:p>
    <w:p>
      <w:pPr>
        <w:widowControl/>
        <w:spacing w:after="15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Arial"/>
          <w:color w:val="000000"/>
          <w:kern w:val="0"/>
          <w:szCs w:val="21"/>
          <w:lang w:eastAsia="zh-Hans"/>
        </w:rPr>
        <w:t>罗书记是理工科大学毕业的，当领导后业余时间喜欢看一点古典名著。秘书小董在大学学的就是文史，也喜欢读古典名著，每当罗书记提出需要哪方面的书籍、材料时，小董就及时提供，为罗书记节省了许多时间。由于小董具有事业心和吃苦精神，不仅把秘书工作做得很出色，自己也得到了锻炼和提高，学到了许多书本上没有的东西。小董给罗书记当秘书多年，罗书记一直认为小董是块“好料”，应当放下去锻炼锻炼，但又不舍得。在小董当秘书的第七个年头时，终于被派到县里当县委副书记。调令下来，大家都异口同声地说“应该应该”。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Arial"/>
          <w:color w:val="000000"/>
          <w:kern w:val="0"/>
          <w:szCs w:val="21"/>
          <w:lang w:eastAsia="zh-Hans"/>
        </w:rPr>
        <w:t>问题：（1）小董秘书为什么能够得到领导的信任与提拔？</w:t>
      </w:r>
    </w:p>
    <w:p>
      <w:pPr>
        <w:widowControl/>
        <w:spacing w:after="150"/>
        <w:ind w:firstLine="1104" w:firstLineChars="526"/>
        <w:rPr>
          <w:rFonts w:hint="eastAsia" w:ascii="宋体" w:hAnsi="宋体" w:cs="Arial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Arial"/>
          <w:color w:val="000000"/>
          <w:kern w:val="0"/>
          <w:szCs w:val="21"/>
          <w:lang w:eastAsia="zh-Hans"/>
        </w:rPr>
        <w:t>（2）小董秘书可称之为一名“T型秘书人才”，你觉得像小董秘书这样的“T型秘书人才”应具备哪些方面的知识与能力？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color w:val="000000"/>
          <w:kern w:val="0"/>
          <w:szCs w:val="21"/>
          <w:lang w:eastAsia="zh-Hans"/>
        </w:rPr>
        <w:t>首先我们要认真研读案例，找到小董秘书成功的关键，然后展开解答。对于第二个问题，就是在探讨复合型秘书人才的，这是教材中的知识点。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color w:val="000000"/>
          <w:kern w:val="0"/>
          <w:szCs w:val="21"/>
          <w:lang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color w:val="000000"/>
          <w:kern w:val="0"/>
          <w:szCs w:val="21"/>
          <w:lang w:eastAsia="zh-Hans"/>
        </w:rPr>
        <w:t>（1）小董秘书能够得到领导的信任与提拔，除了工作上的称职，还因为与领导保持了高度的一致，为领导提供了周到的服务。秘书是领导的参谋和助手，长期和领导在一起，耳濡目染，用心学习也会增长才干，最终有可能会成为领导的。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color w:val="000000"/>
          <w:kern w:val="0"/>
          <w:szCs w:val="21"/>
          <w:lang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color w:val="000000"/>
          <w:kern w:val="0"/>
          <w:szCs w:val="21"/>
          <w:lang w:eastAsia="zh-Hans"/>
        </w:rPr>
        <w:t>（2） “T型秘书人才”的特点是多才多艺，能够在很多领域大显身手。他们不仅具备了计算机操作、外语运用、公文写作、办公室事务处理、档案管理、速记、速读、会务准备、信息收集与传播等方面的知识与技能，还通晓法律、财会、营销、心理学、公共关系等学科知识，同时也有较好的个人气度与魄力。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本节课内容不多，但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知识点较细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较强，同学们要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从思想上高度重视秘书人员知识结构和能力要求的培养与提升，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并运用到实践中去，课后要多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思索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 w:firstLine="422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课后练习】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一、单选题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1、____________这根“万年桩”，对从事秘书工作来说是十分重要的。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A基础知识    B专业知识      C辅助知识      D实用知识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2、秘书人员办事能力的提高不包括____________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A会办事      B善办事       C善交往        D遇事冷静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3、____________是适应现代化管理培养新型秘书人员的需要。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A政治哲学类    B语言文学类    C数学统计类     D历史地理类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4、____________是秘书专业特长的标志，是从事秘书工作的重要技能。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A秘书写作知识     B秘书学知识     C文书档案知识     D会务知识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5、____________是秘书知识结构中不可缺少的组成部分。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A基础知识    B专业知识      C辅助知识      D实用知识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6、秘书人员掌握________，无疑对辅助领导科学管理，提高管理水平，是大有帮助的。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A管理知识     B外语知识     C地方志知识     D导游与礼宾接待知识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7、正确认识自己和他人，讲究礼貌、仪表，言谈举止，与同事相处要真诚，相互信赖、尊重，这是秘书人员在培养和发展自己的____________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 表达能力      B办事能力      C管理能力      D社交能力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8、秘书人员与他人进行社会交往的本领是____________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A表达能力      B办事能力      C管理能力      D社交能力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9、____________是掌握和使用与工作有关的设备、工具和技术的本领。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A操作能力      B办事能力      C管理能力      D社交能力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二、多选题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1、秘书人员应掌握的相关的辅助知识有____________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A管理知识      B外语知识      C 地方志知识     D导游与礼宾接待知识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2、秘书人员要努力把自己锻炼成公文写作的____________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A快手      B能手      C高手     D有一手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3、T型秘书人才指的是____________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A复合型秘书人才     B操作型秘书人才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C多功能秘书人才     D社交型秘书人才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4、秘书人员知识与能力培养的强化训练包括____________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A学校训练    B岗位训练    C自我训练     D勤奋学习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5、秘书人员要培养和发展自己的社交能力，应努力做到____________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A正确认识自己     B正确认识别人    C讲究礼貌、仪表    D遇事冷静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三、综合题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小兰是老总秘书，在工作上从来没出现过大差错，但是总觉得在工作上和老总有些错位。 这天上午，老总在开会，小兰没什么事，像往常一样在网上浏览新闻，消磨时间。11点多，老总开完会出来，对小兰说下星期一去上海出差，让小兰把上海两个客户的合同找出来。“您坐飞机去吗？”小兰问。“是的，打算乘星期一下午3点多的飞机。”老总说。“那我帮您订机票吧？”小兰主动说。“不用了，我这里有订票处的电话，回头你帮我下楼去取一下就行。”老总说。于是，小兰只好怏怏回到自己的办公室找那两份合同。 老总在公司时小兰觉得无所事事，老总出差时就会更无聊。很多朋友羡慕小兰工作轻松，但是小兰心有不甘，当年小兰在学校也是响当当的好学生，学习一直名列前茅，但是上班三年多了，虽有“总经理秘书”的头衔，但老总几乎没有对小兰的工作表示肯定，而一天到晚只在打杂，没有机会也没有希望。但是对于这种待遇还不错的工作，小兰也不想轻易放弃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问题： （1）小兰的问题出在哪里？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</w:p>
    <w:p>
      <w:pPr>
        <w:widowControl/>
        <w:numPr>
          <w:ilvl w:val="0"/>
          <w:numId w:val="1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小兰该怎么改变现有的工作状态？</w:t>
      </w:r>
    </w:p>
    <w:p>
      <w:pPr>
        <w:widowControl/>
        <w:numPr>
          <w:ilvl w:val="0"/>
          <w:numId w:val="0"/>
        </w:numPr>
        <w:spacing w:after="150"/>
        <w:jc w:val="both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</w:p>
    <w:p>
      <w:pPr>
        <w:widowControl/>
        <w:numPr>
          <w:ilvl w:val="0"/>
          <w:numId w:val="1"/>
        </w:numPr>
        <w:spacing w:after="150"/>
        <w:ind w:left="0"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你如果碰到这类问题该如何处理？</w:t>
      </w:r>
    </w:p>
    <w:p>
      <w:pPr>
        <w:widowControl/>
        <w:numPr>
          <w:ilvl w:val="0"/>
          <w:numId w:val="0"/>
        </w:numPr>
        <w:spacing w:after="150"/>
        <w:ind w:left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</w:p>
    <w:p>
      <w:pPr>
        <w:widowControl/>
        <w:numPr>
          <w:ilvl w:val="0"/>
          <w:numId w:val="0"/>
        </w:numPr>
        <w:spacing w:after="150"/>
        <w:ind w:leftChars="200"/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分析明确：（1）问题出现在缺少工作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begin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instrText xml:space="preserve"> HYPERLINK "http://www.so.com/s?q=%E6%BF%80%E6%83%85&amp;ie=utf-8&amp;src=wenda_link" \t "_blank" </w:instrTex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separate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激情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end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 xml:space="preserve">和学习心态，且自我要求不够； </w:t>
      </w:r>
    </w:p>
    <w:p>
      <w:pPr>
        <w:widowControl/>
        <w:numPr>
          <w:ilvl w:val="0"/>
          <w:numId w:val="0"/>
        </w:numPr>
        <w:spacing w:after="150"/>
        <w:ind w:leftChars="200"/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 xml:space="preserve">（2）转变自身的角色定位，多观察总经理每月、每周、每日工作的重点，主动收集有用的信息，提出一些有价值的建议，供总经理参考，同时加强自身业务知识和能力的提升。 </w:t>
      </w:r>
    </w:p>
    <w:p>
      <w:pPr>
        <w:widowControl/>
        <w:numPr>
          <w:ilvl w:val="0"/>
          <w:numId w:val="0"/>
        </w:numPr>
        <w:spacing w:after="150"/>
        <w:ind w:firstLine="420" w:firstLineChars="200"/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（3）秘书分为初级、中级和高级，小兰目前从事的职责只能是初级秘书的职责，要增强工作的工动性和工作激情，尽量承担中高级秘书职责。同时，总经理日常事务比较多，有时顾不上秘书的工作安排，如果不主动承担工作，工作量会越来越少。而如果能够积极主动为总经理分担事务，获得总经理的信任，她将成为总经理的有力助手，甚至会发挥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begin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instrText xml:space="preserve"> HYPERLINK "http://www.so.com/s?q=%E6%80%BB%E7%BB%8F%E7%90%86%E5%8A%A9%E7%90%86&amp;ie=utf-8&amp;src=wenda_link" \t "_blank" </w:instrTex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separate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总经理助理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end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的职责，充分体现自身的价值。所以小兰要快速转变现有的工作状态，了解掌握总经理的行事风格和做事特点，以及当前所关注的企业的重要工作，找机会参与进去，在此过程中体现自己的价值，获得总经理的重新认可，改变总经理对自己的固有看法。同时，要不断地学习，对于当前工作的每一项要认真对待，同时要深入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begin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instrText xml:space="preserve"> HYPERLINK "http://www.so.com/s?q=%E4%BC%81%E4%B8%9A%E7%AE%A1%E7%90%86&amp;ie=utf-8&amp;src=wenda_link" \t "_blank" </w:instrTex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separate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企业管理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end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的各个环节，每周可形成一份报告，供总经理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begin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instrText xml:space="preserve"> HYPERLINK "http://www.so.com/s?q=%E5%86%B3%E7%AD%96%E5%8F%82%E8%80%83&amp;ie=utf-8&amp;src=wenda_link" \t "_blank" </w:instrTex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separate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决策参考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end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。通过一段时间的坚持，相信总经理会看到你的改变，也会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begin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instrText xml:space="preserve"> HYPERLINK "http://www.so.com/s?q=%E9%87%8D%E6%96%B0%E8%AE%A4%E8%AF%86%E4%BD%A0&amp;ie=utf-8&amp;src=wenda_link" \t "_blank" </w:instrTex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separate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重新认识你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fldChar w:fldCharType="end"/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Hans"/>
        </w:rPr>
        <w:t>的价值。</w:t>
      </w:r>
    </w:p>
    <w:p>
      <w:pPr>
        <w:widowControl/>
        <w:numPr>
          <w:ilvl w:val="0"/>
          <w:numId w:val="0"/>
        </w:numPr>
        <w:spacing w:after="15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p>
      <w:pPr>
        <w:rPr>
          <w:rFonts w:hint="eastAsia" w:ascii="宋体" w:hAnsi="宋体" w:cs="Arial"/>
          <w:color w:val="FF0000"/>
          <w:kern w:val="0"/>
          <w:szCs w:val="21"/>
          <w:lang w:eastAsia="zh-Hans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037F"/>
    <w:multiLevelType w:val="singleLevel"/>
    <w:tmpl w:val="5239037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B749B"/>
    <w:rsid w:val="028B749B"/>
    <w:rsid w:val="7E09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2018-03-26T03:09:00Z</dcterms:created>
  <dc:creator>我爱咖啡</dc:creator>
  <cp:lastModifiedBy>我爱咖啡</cp:lastModifiedBy>
  <dcterms:modified xsi:type="dcterms:W3CDTF">2018-07-15T07:07:54Z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